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7FAD9">
      <w:pPr>
        <w:spacing w:before="400" w:after="400"/>
        <w:jc w:val="center"/>
      </w:pPr>
      <w:r>
        <w:rPr>
          <w:rFonts w:ascii="黑体" w:hAnsi="黑体" w:eastAsia="黑体"/>
          <w:b/>
          <w:bCs/>
          <w:sz w:val="36"/>
          <w:szCs w:val="36"/>
        </w:rPr>
        <w:t>咪咕视频智能推理平台单项工程实施方案</w:t>
      </w:r>
    </w:p>
    <w:p w14:paraId="4BFA7F03">
      <w:pPr>
        <w:spacing w:before="240" w:after="120" w:line="360" w:lineRule="auto"/>
      </w:pPr>
      <w:r>
        <w:rPr>
          <w:rFonts w:ascii="黑体" w:hAnsi="黑体" w:eastAsia="黑体"/>
          <w:b/>
          <w:bCs/>
          <w:sz w:val="32"/>
          <w:szCs w:val="32"/>
        </w:rPr>
        <w:t>一、实施目标与原则</w:t>
      </w:r>
    </w:p>
    <w:p w14:paraId="011B4F40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1.1 实施目标</w:t>
      </w:r>
    </w:p>
    <w:p w14:paraId="28E7DD79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本工程建设目标主要包括：</w:t>
      </w:r>
    </w:p>
    <w:p w14:paraId="0CC40B2A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依托咪咕视频智能推理平台，提升判别式模型训推效率，通过点播/直播分布式推理服务，支撑基于关键事件识别和画面实时理解的智慧观赛需求，助力AI+产品年累计使用用户数达600万。</w:t>
      </w:r>
    </w:p>
    <w:p w14:paraId="564A1AD8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本期工程主要建设内容如下：</w:t>
      </w:r>
    </w:p>
    <w:p w14:paraId="0839262B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新建设咪咕视频智能推理平台，对接咪咕智能推理基础平台，提供统一的算力调度、判别式模型训练发布、判别式模型推理及管理应用于一体的能力。支持任务与模型级算力调度，具备模型训练（含参数调优、质量评估、量化加速）、点播/直播分布式推理及按性能与算力属性的模型版本管理能力。</w:t>
      </w:r>
    </w:p>
    <w:p w14:paraId="3CCB3501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具体目标包括：</w:t>
      </w:r>
    </w:p>
    <w:p w14:paraId="76635CA9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（1）提升训推效率：通过统一的算力调度和分布式推理服务，显著提升判别式模型的训练和推理效率。</w:t>
      </w:r>
    </w:p>
    <w:p w14:paraId="0F7C233F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（2）支撑智慧观赛：通过关键事件识别和画面实时理解能力，打造专业、沉浸互动的行业领先智慧观赛体验。</w:t>
      </w:r>
    </w:p>
    <w:p w14:paraId="67C53A77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（3）服务用户需求：满足用户对交互性、实时性、自由性的高阶需求，解决迭代慢、规模效应低等业务创新瓶颈。</w:t>
      </w:r>
    </w:p>
    <w:p w14:paraId="312F2D0F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（4）赋能AI+业务：基于平台点播/直播分布式推理服务，针对体育场景通过加载判别式模型，形成赛事事件分析、战术解析、战术沙盘等AI辅助能力及深度内容创作能力。</w:t>
      </w:r>
    </w:p>
    <w:p w14:paraId="6CC99425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1.2 实施原则</w:t>
      </w:r>
    </w:p>
    <w:p w14:paraId="6C91BF3F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根据源文件第8章质量要求，本工程的建设遵循以下原则：</w:t>
      </w:r>
    </w:p>
    <w:p w14:paraId="62B04D0D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先进性：系统设计应立足先进的技术，采用业界共同认可的标准，选择的技术或产品符合技术未来发展方向，并尽可能采纳主流的、具有代表性的产品，以保证未来构造的系统具有较强生命力。系统的设计要符合面向对象思想，分层管理。系统的模型设计、软件结构以及软硬件系统都应采用当前主流的技术。</w:t>
      </w:r>
    </w:p>
    <w:p w14:paraId="535738BA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（2）标准化与开放性：系统网络系统、设备系统、系统软件、应用软件的建设应遵循业界统一标准，系统采用分布式开放结构，充分考虑与外部系统的接口。</w:t>
      </w:r>
    </w:p>
    <w:p w14:paraId="10987895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（3）安全性：系统应具备统一、完善的多级安全机制，以保证系统的安全性。系统应能抵御互联网上常见的各种攻击。</w:t>
      </w:r>
    </w:p>
    <w:p w14:paraId="27FB98CA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（4）可用性和可靠性：系统应提供高可用性以及数据多重保护，应避免由于单点故障影响整个系统正常稳定运行，避免关键信息的丢失。</w:t>
      </w:r>
    </w:p>
    <w:p w14:paraId="5FC958B3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（5）易用性：系统应提供友好的中文图形操作界面和在线帮助，系统应向用户提供方便、快捷的业务使用体验，同时便于系统管理员和操作员的维护、管理。</w:t>
      </w:r>
    </w:p>
    <w:p w14:paraId="205F7151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（6）可扩充性：系统的软件设计采用模块化体系结构，新功能的引入不影响原有的功能模块，具有良好的可扩展性。同时，系统的容量可随硬件的扩容和软件的升级达到更高的要求。</w:t>
      </w:r>
    </w:p>
    <w:p w14:paraId="149BDD90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（7）高可靠维护性：系统的网络系统、设备系统、系统软件、应用软件都应提供方便、灵活的维护手段，方便应用人员的维护和管理。</w:t>
      </w:r>
    </w:p>
    <w:p w14:paraId="7C4BCC28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（8）经济性：系统的建设应考虑投资的经济性，本着经济实用的原则，充分利用已建功能模块，保护已有投资。</w:t>
      </w:r>
    </w:p>
    <w:p w14:paraId="5BAF8D00">
      <w:pPr>
        <w:spacing w:before="240" w:after="120" w:line="360" w:lineRule="auto"/>
      </w:pPr>
      <w:r>
        <w:rPr>
          <w:rFonts w:ascii="黑体" w:hAnsi="黑体" w:eastAsia="黑体"/>
          <w:b/>
          <w:bCs/>
          <w:sz w:val="32"/>
          <w:szCs w:val="32"/>
        </w:rPr>
        <w:t>二、实施计划大纲</w:t>
      </w:r>
    </w:p>
    <w:p w14:paraId="0220DA9B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根据项目总体建设进度安排情况，本工程进度安排如下表所示：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94"/>
        <w:gridCol w:w="4130"/>
        <w:gridCol w:w="2842"/>
      </w:tblGrid>
      <w:tr w14:paraId="4CBF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6AFF6A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500B10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阶段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419D78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计划时间</w:t>
            </w:r>
          </w:p>
        </w:tc>
      </w:tr>
      <w:tr w14:paraId="21888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1E1E99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6777EF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完成开工启动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83110A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2025年12月</w:t>
            </w:r>
          </w:p>
        </w:tc>
      </w:tr>
      <w:tr w14:paraId="1083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433F7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81F5E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完成设备安装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534046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2025年12月</w:t>
            </w:r>
          </w:p>
        </w:tc>
      </w:tr>
      <w:tr w14:paraId="3205C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A181E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04BAC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完成系统调测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EE961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2025年12月</w:t>
            </w:r>
          </w:p>
        </w:tc>
      </w:tr>
      <w:tr w14:paraId="63F5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966D2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73A2C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完成验收测试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17B62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2025年12月</w:t>
            </w:r>
          </w:p>
        </w:tc>
      </w:tr>
      <w:tr w14:paraId="56938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B4AD28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ABEF8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完成割接上线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E2153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2026年1月</w:t>
            </w:r>
          </w:p>
        </w:tc>
      </w:tr>
      <w:tr w14:paraId="7D9B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A97918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45672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完成工程转资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FD73C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2026年1月</w:t>
            </w:r>
          </w:p>
        </w:tc>
      </w:tr>
      <w:tr w14:paraId="4D9A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30395A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B6E11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试运行期结束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93388E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2026年4月</w:t>
            </w:r>
          </w:p>
        </w:tc>
      </w:tr>
      <w:tr w14:paraId="40974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C95ABA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E306D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完成竣工验收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1A4323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2026年4月</w:t>
            </w:r>
          </w:p>
        </w:tc>
      </w:tr>
      <w:tr w14:paraId="614AF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0130A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61B90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完成审计归档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87DC2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2026年5月</w:t>
            </w:r>
          </w:p>
        </w:tc>
      </w:tr>
    </w:tbl>
    <w:p w14:paraId="3C1DBB84">
      <w:pPr>
        <w:spacing w:before="0" w:after="0" w:line="360" w:lineRule="auto"/>
        <w:jc w:val="both"/>
      </w:pPr>
    </w:p>
    <w:p w14:paraId="2D301C78">
      <w:pPr>
        <w:spacing w:before="240" w:after="120" w:line="360" w:lineRule="auto"/>
      </w:pPr>
      <w:r>
        <w:rPr>
          <w:rFonts w:ascii="黑体" w:hAnsi="黑体" w:eastAsia="黑体"/>
          <w:b/>
          <w:bCs/>
          <w:sz w:val="32"/>
          <w:szCs w:val="32"/>
        </w:rPr>
        <w:t>三、实施过程管控</w:t>
      </w:r>
    </w:p>
    <w:p w14:paraId="53F2C3D6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3.1 前期调研</w:t>
      </w:r>
    </w:p>
    <w:p w14:paraId="77653E70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深入调研业务需求，明确功能需求、性能需求、安全需求，输出需求规格说明书。围绕体育足篮重点版权赛事，面向媒体化、智能化方向，明确平台建设方向。</w:t>
      </w:r>
    </w:p>
    <w:p w14:paraId="6A3441A1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3.2 项目组成立</w:t>
      </w:r>
    </w:p>
    <w:p w14:paraId="4432F1EA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本着加强管理、提高效益、减少组织机构设置，合理组织劳动力的精神，建议采用集中维护方式，在上海设集中维护中心，负责全网的分析、统计与规划，网络参数的调整、接口协调，故障设备的修复。</w:t>
      </w:r>
    </w:p>
    <w:p w14:paraId="26B2ED11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由于移动通信设备的技术要求较高，必须适时培训一批合格的生产维护及管理人员，以确保工程的顺利进行及今后的维护运行。</w:t>
      </w:r>
    </w:p>
    <w:p w14:paraId="136875E0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（1）维护工作人员应能熟练掌握软件及硬件日常维护工作，并能及时排除常见的设备故障，做好设备管理工作。</w:t>
      </w:r>
    </w:p>
    <w:p w14:paraId="5BB137C8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（2）工程技术人员应能指导维护工作人员进行日常维护运行工作，能熟练地排除较复杂的设备故障，并能分析原因，采取纠正和预防措施。</w:t>
      </w:r>
    </w:p>
    <w:p w14:paraId="56C20294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（3）管理人员应能负责全面的技术管理工作。</w:t>
      </w:r>
    </w:p>
    <w:p w14:paraId="46E1B51A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培训由建设单位根据工程进度和需求情况统一安排。</w:t>
      </w:r>
    </w:p>
    <w:p w14:paraId="43E569CD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3.3 开发平台搭建</w:t>
      </w:r>
    </w:p>
    <w:p w14:paraId="119123D2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本期工程根据业务需求预估共需申请41台服务器或虚机、70T NAS存储，其中预计自有资源申请10台虚机、24台服务器、70T NAS存储，移动云租赁7台服务器。所需资源优先由咪咕公司IT资源池提供，其无法提供的资源由移动云提供。按阶段进行硬件资源申请，前期先按照满足系统运行申请，按最小规模部署，后期根据业务实际发展按需扩容。</w:t>
      </w:r>
    </w:p>
    <w:p w14:paraId="263130F2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资源需求汇总如下表所示：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48"/>
        <w:gridCol w:w="1787"/>
        <w:gridCol w:w="3358"/>
        <w:gridCol w:w="1025"/>
        <w:gridCol w:w="1048"/>
      </w:tblGrid>
      <w:tr w14:paraId="71D4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FF54F2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系统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327A48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24AAE2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参考配置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805CB8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9BAF9D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备注</w:t>
            </w:r>
          </w:p>
        </w:tc>
      </w:tr>
      <w:tr w14:paraId="44E78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93F8F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咪咕视频智能推理平台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A0B3A2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应用服务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350A7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48C/128GB/320GB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BB90AE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24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C6FB9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-</w:t>
            </w:r>
          </w:p>
        </w:tc>
      </w:tr>
      <w:tr w14:paraId="0102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A273A3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咪咕视频智能推理平台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DAE016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推理服务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1B0D8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32C/64GB/500GB/5880ADA GPU*4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67E4B6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77F02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16张GPU卡</w:t>
            </w:r>
          </w:p>
        </w:tc>
      </w:tr>
      <w:tr w14:paraId="05CD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A5D17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咪咕视频智能推理平台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7A31C2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训练服务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14AC0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32C/64GB/960GB/5880ADA GPU或昇腾910B*4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B462B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3E1D6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12张GPU卡</w:t>
            </w:r>
          </w:p>
        </w:tc>
      </w:tr>
      <w:tr w14:paraId="1A0F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88444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咪咕视频智能推理平台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257209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数据库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E0BFD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8C/16GB/200GB SSD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6FC04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D9267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-</w:t>
            </w:r>
          </w:p>
        </w:tc>
      </w:tr>
      <w:tr w14:paraId="186C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F3DF7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咪咕视频智能推理平台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1D0D5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RabbitMQ中间件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08DB1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8C/16GB/200GB SSD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773A0E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1D36F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-</w:t>
            </w:r>
          </w:p>
        </w:tc>
      </w:tr>
      <w:tr w14:paraId="19354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6A0A3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咪咕视频智能推理平台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1094D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Kafka中间件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583B7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8C/16GB/200GB SSD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3BF67A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EC5D0E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-</w:t>
            </w:r>
          </w:p>
        </w:tc>
      </w:tr>
      <w:tr w14:paraId="5AE9E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255E9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咪咕视频智能推理平台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780FA6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NAS存储</w:t>
            </w:r>
          </w:p>
        </w:tc>
        <w:tc>
          <w:tcPr>
            <w:tcW w:w="36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F47AA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70TB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CEE789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2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FE096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-</w:t>
            </w:r>
          </w:p>
        </w:tc>
      </w:tr>
    </w:tbl>
    <w:p w14:paraId="4FDB1A78">
      <w:pPr>
        <w:spacing w:before="0" w:after="0" w:line="360" w:lineRule="auto"/>
        <w:jc w:val="both"/>
      </w:pPr>
    </w:p>
    <w:p w14:paraId="38A202C5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各模块详细说明：</w:t>
      </w:r>
    </w:p>
    <w:p w14:paraId="1B3DE21D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（1）应用服务：</w:t>
      </w:r>
      <w:bookmarkStart w:id="0" w:name="_GoBack"/>
      <w:r>
        <w:rPr>
          <w:rFonts w:ascii="宋体" w:hAnsi="宋体" w:eastAsia="宋体"/>
          <w:b w:val="0"/>
          <w:bCs w:val="0"/>
          <w:sz w:val="24"/>
          <w:szCs w:val="24"/>
        </w:rPr>
        <w:t>部署业务应用服务，共需24台配置为48C/128GB/320GB的服务器。其中点播推理集群（1主1备）需8台服务器；3个直播推理集群（2主1备）需12台服务器；另外包括APP网关服务、API管理服务、集群管理服务、推理信息持久化服务、媒体接入网关服务、推理任务编排服务等。</w:t>
      </w:r>
    </w:p>
    <w:bookmarkEnd w:id="0"/>
    <w:p w14:paraId="3BDBE5A7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（2）推理服务：部署通用算法服务，共需4台配置为32C/64GB/500GB/5880ADA GPU*4的服务器，共16张GPU卡。</w:t>
      </w:r>
    </w:p>
    <w:p w14:paraId="0CF9EDB3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（3）训练服务：在足球、篮球、乒乓球场景下，涵盖检测、跟踪、识别、分割、球场重建、赛事事件等方向，预估有3个场景并发训练，需要3台配置为32C/64GB/960GB/5880ADA GPU或昇腾910B*4的服务器，共12张GPU卡。</w:t>
      </w:r>
    </w:p>
    <w:p w14:paraId="69DF81FD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（4）数据库：部署数据库服务，需要4台配置为8C/16GB/200GB SSD的虚机（直播推理集群1套、点播推理集群1套、推理信息持久化存储1套、训练服务集群1套）。</w:t>
      </w:r>
    </w:p>
    <w:p w14:paraId="3F76E4D6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（5）RabbitMQ中间件：部署RabbitMQ中间件，需要5台配置为8C/16GB/200GB SSD的虚机（3个直播推理集群3套、2个点播推理集群2套）。</w:t>
      </w:r>
    </w:p>
    <w:p w14:paraId="56F239A3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（6）Kafka中间件：部署Kafka中间件，需要1台配置为8C/16GB/200GB SSD的虚机。</w:t>
      </w:r>
    </w:p>
    <w:p w14:paraId="77E327D1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（7）NAS存储：用于存放临时录制音视频文件、球员和球队截图、推理特征数据、推理结构化信息等资源，以及临时训练集、验证集、测试集、训练日志、评估结果、可视化结果，需要70TB。</w:t>
      </w:r>
    </w:p>
    <w:p w14:paraId="7F542CAF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系统运行所需的支持软件环境如下表所示：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65"/>
        <w:gridCol w:w="1534"/>
        <w:gridCol w:w="1600"/>
        <w:gridCol w:w="3967"/>
      </w:tblGrid>
      <w:tr w14:paraId="77061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BCE926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软件名称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D0F332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软件类型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776692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版本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D5E8F0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D22A7B">
            <w:pPr>
              <w:jc w:val="center"/>
            </w:pP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描述</w:t>
            </w:r>
          </w:p>
        </w:tc>
      </w:tr>
      <w:tr w14:paraId="596C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1D884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Ubuntu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62F8EA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操作系统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E81E0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20.04 LTS及以上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D41D5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Linux服务器操作系统，支持GPU驱动</w:t>
            </w:r>
          </w:p>
        </w:tc>
      </w:tr>
      <w:tr w14:paraId="4451B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03306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Kubernetes (K8S)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2D390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容器编排平台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1A568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1.24及以上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311536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大规格异构集群管理和负载调度</w:t>
            </w:r>
          </w:p>
        </w:tc>
      </w:tr>
      <w:tr w14:paraId="694E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4E277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Docker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B8278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容器引擎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55C46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20.10及以上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7D3C5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容器化运行环境</w:t>
            </w:r>
          </w:p>
        </w:tc>
      </w:tr>
      <w:tr w14:paraId="0CBF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A5797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NVIDIA Driver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2A08F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GPU驱动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53A289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525及以上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B2BA09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NVIDIA GPU驱动程序</w:t>
            </w:r>
          </w:p>
        </w:tc>
      </w:tr>
      <w:tr w14:paraId="28E24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44BCF8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CUDA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6964E2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GPU计算平台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4291E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11.8及以上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4576AA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NVIDIA GPU并行计算平台</w:t>
            </w:r>
          </w:p>
        </w:tc>
      </w:tr>
      <w:tr w14:paraId="62D3B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548AF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PyTorch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1DC81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深度学习框架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2AC1C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2.0及以上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3EA758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模型训练与推理框架</w:t>
            </w:r>
          </w:p>
        </w:tc>
      </w:tr>
      <w:tr w14:paraId="30606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7E32C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Python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F9E6E1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编程语言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895B8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3.8及以上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94653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系统开发与模型训练编程语言</w:t>
            </w:r>
          </w:p>
        </w:tc>
      </w:tr>
      <w:tr w14:paraId="4872E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321253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MySQL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B0797F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关系型数据库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6C4F4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8.0及以上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E30C07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业务数据存储</w:t>
            </w:r>
          </w:p>
        </w:tc>
      </w:tr>
      <w:tr w14:paraId="301C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9C8E06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RabbitMQ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92D0C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消息中间件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1D12A3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3.12及以上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BE1B1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推理任务消息队列</w:t>
            </w:r>
          </w:p>
        </w:tc>
      </w:tr>
      <w:tr w14:paraId="7D319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64E48E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Kafka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A67B7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流处理平台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A90240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3.5及以上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17371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推理结果流式分发</w:t>
            </w:r>
          </w:p>
        </w:tc>
      </w:tr>
      <w:tr w14:paraId="139D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B4A0BC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Nginx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805EDB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反向代理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7DA44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1.24及以上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381D73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API网关和负载均衡</w:t>
            </w:r>
          </w:p>
        </w:tc>
      </w:tr>
      <w:tr w14:paraId="6A8E3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227314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ONNX Runtime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756C5F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推理引擎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69AC7F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1.16及以上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616692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跨平台模型推理引擎</w:t>
            </w:r>
          </w:p>
        </w:tc>
      </w:tr>
      <w:tr w14:paraId="12888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04512D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TensorRT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423B05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推理优化</w:t>
            </w:r>
          </w:p>
        </w:tc>
        <w:tc>
          <w:tcPr>
            <w:tcW w:w="20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1C265E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8.6及以上</w:t>
            </w:r>
          </w:p>
        </w:tc>
        <w:tc>
          <w:tcPr>
            <w:tcW w:w="540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276138">
            <w:pPr>
              <w:jc w:val="center"/>
            </w:pPr>
            <w:r>
              <w:rPr>
                <w:rFonts w:ascii="宋体" w:hAnsi="宋体" w:eastAsia="宋体"/>
                <w:b w:val="0"/>
                <w:bCs w:val="0"/>
                <w:sz w:val="21"/>
                <w:szCs w:val="21"/>
              </w:rPr>
              <w:t>NVIDIA GPU推理优化引擎</w:t>
            </w:r>
          </w:p>
        </w:tc>
      </w:tr>
    </w:tbl>
    <w:p w14:paraId="036830B0">
      <w:pPr>
        <w:spacing w:before="0" w:after="0" w:line="360" w:lineRule="auto"/>
        <w:jc w:val="both"/>
      </w:pPr>
    </w:p>
    <w:p w14:paraId="53E910C7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3.4 配置管理</w:t>
      </w:r>
    </w:p>
    <w:p w14:paraId="11F5475E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本期工程按阶段进行硬件资源申请，前期先按照满足系统运行申请，按最小规模部署，后期根据业务实际发展按需扩容。所需资源优先由咪咕公司IT资源池提供，其无法提供的资源由移动云提供。</w:t>
      </w:r>
    </w:p>
    <w:p w14:paraId="07A15D86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3.5 质量保障</w:t>
      </w:r>
    </w:p>
    <w:p w14:paraId="6E6BE2FF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本工程的建设遵循以下质量要求：</w:t>
      </w:r>
    </w:p>
    <w:p w14:paraId="67E7ED46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先进性：系统设计应立足先进的技术，采用业界共同认可的标准，选择的技术或产品符合技术未来发展方向，并尽可能采纳主流的、具有代表性的产品，以保证未来构造的系统具有较强生命力。系统的设计要符合面向对象思想，分层管理。系统的模型设计、软件结构以及软硬件系统都应采用当前主流的技术。</w:t>
      </w:r>
    </w:p>
    <w:p w14:paraId="5D652967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（2）标准化与开放性：系统网络系统、设备系统、系统软件、应用软件的建设应遵循业界统一标准，系统采用分布式开放结构，充分考虑与外部系统的接口。</w:t>
      </w:r>
    </w:p>
    <w:p w14:paraId="17716204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（3）安全性：系统应具备统一、完善的多级安全机制，以保证系统的安全性。系统应能抵御互联网上常见的各种攻击。</w:t>
      </w:r>
    </w:p>
    <w:p w14:paraId="34F315FD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（4）可用性和可靠性：系统应提供高可用性以及数据多重保护，应避免由于单点故障影响整个系统正常稳定运行，避免关键信息的丢失。</w:t>
      </w:r>
    </w:p>
    <w:p w14:paraId="0E10BEEC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（5）易用性：系统应提供友好的中文图形操作界面和在线帮助，系统应向用户提供方便、快捷的业务使用体验，同时便于系统管理员和操作员的维护、管理。</w:t>
      </w:r>
    </w:p>
    <w:p w14:paraId="7171B8F3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（6）可扩充性：系统的软件设计采用模块化体系结构，新功能的引入不影响原有的功能模块，具有良好的可扩展性。同时，系统的容量可随硬件的扩容和软件的升级达到更高的要求。</w:t>
      </w:r>
    </w:p>
    <w:p w14:paraId="5975A21C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（7）高可靠维护性：系统的网络系统、设备系统、系统软件、应用软件都应提供方便、灵活的维护手段，方便应用人员的维护和管理。</w:t>
      </w:r>
    </w:p>
    <w:p w14:paraId="00938B29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（8）经济性：系统的建设应考虑投资的经济性，本着经济实用的原则，充分利用已建功能模块，保护已有投资。</w:t>
      </w:r>
    </w:p>
    <w:p w14:paraId="1EB67937">
      <w:pPr>
        <w:spacing w:before="240" w:after="120" w:line="360" w:lineRule="auto"/>
      </w:pPr>
      <w:r>
        <w:rPr>
          <w:rFonts w:ascii="黑体" w:hAnsi="黑体" w:eastAsia="黑体"/>
          <w:b/>
          <w:bCs/>
          <w:sz w:val="32"/>
          <w:szCs w:val="32"/>
        </w:rPr>
        <w:t>四、风险评估</w:t>
      </w:r>
    </w:p>
    <w:p w14:paraId="4741CD76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在项目实施过程中可能出现各种风险，大致分为可预见性风险和不可预见性风险两种情况。以下对项目各方面可能存在的风险进行评估和分析。</w:t>
      </w:r>
    </w:p>
    <w:p w14:paraId="1BAB086B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4.1 技术风险</w:t>
      </w:r>
    </w:p>
    <w:p w14:paraId="6E5E44C2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（1）异构算力适配风险：平台需兼容nvidia cuda GPU、昇腾MindSpore、摩尔线程MTT/USA、寒武纪MLU等多种异构算力，不同硬件平台的驱动兼容性、算子支持度、性能表现可能存在差异，可能影响模型训练和推理效果。应对措施：建立完善的硬件兼容性测试体系，优先验证主流GPU型号，逐步扩展其他硬件支持。</w:t>
      </w:r>
    </w:p>
    <w:p w14:paraId="1B0B9289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（2）模型转换精度损失风险：判别式模型在不同推理框架间转换时可能出现精度损失，影响最终业务效果。应对措施：建立模型转换前后的精度评估机制，设定可接受的精度损失阈值，必要时进行模型微调。</w:t>
      </w:r>
    </w:p>
    <w:p w14:paraId="12C3EE28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（3）实时推理性能风险：直播场景对推理延迟要求较高，多路并发推理可能导致性能瓶颈。应对措施：采用动态批处理、资源预分配等技术优化实时推理性能，建立性能基线监控。</w:t>
      </w:r>
    </w:p>
    <w:p w14:paraId="43A902C9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4.2 资源风险</w:t>
      </w:r>
    </w:p>
    <w:p w14:paraId="0AE8B6E8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（1）GPU资源不足风险：本期规划28张GPU卡（推理16张+训练12张），随着业务规模扩大可能出现资源不足。应对措施：采用最小化部署起步，根据业务实际发展按需扩容；优化GPU资源调度策略，提高资源利用率。</w:t>
      </w:r>
    </w:p>
    <w:p w14:paraId="58ACE2C1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（2）存储容量风险：70T NAS存储需要满足推理和训练的数据存储需求，随着数据积累可能面临容量不足。应对措施：建立数据生命周期管理策略，定期清理过期数据，必要时扩容存储。</w:t>
      </w:r>
    </w:p>
    <w:p w14:paraId="1E83FFE5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4.3 安全风险</w:t>
      </w:r>
    </w:p>
    <w:p w14:paraId="66447C8E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（1）模型安全风险：AI模型可能被窃取、篡改或恶意使用，训练数据可能泄露。应对措施：实施模型加密和数字签名保护，严格控制模型访问权限，建立完整的审计追踪机制。</w:t>
      </w:r>
    </w:p>
    <w:p w14:paraId="67A09F5D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（2）接口安全风险：对外提供的API接口可能遭受非法访问或恶意攻击。应对措施：实施严格的服务鉴权机制、接口并发控制、IP授权认证等措施，定期进行安全评估。</w:t>
      </w:r>
    </w:p>
    <w:p w14:paraId="7095CDD9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（3）数据安全风险：推理过程中产生的用户数据和业务数据可能被泄露或篡改。应对措施：实施数据分类分级管理，对敏感数据进行加密存储和传输，建立完善的数据备份和恢复机制。</w:t>
      </w:r>
    </w:p>
    <w:p w14:paraId="40F437AE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4.4 进度风险</w:t>
      </w:r>
    </w:p>
    <w:p w14:paraId="7049AED9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（1）需求变更风险：项目建设过程中需求可能发生变更，影响项目进度。应对措施：建立需求变更管理流程，对变更进行影响评估和审批控制。</w:t>
      </w:r>
    </w:p>
    <w:p w14:paraId="0C7AD9D8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（2）集成联调风险：平台涉及多个子系统和外部系统的集成，联调过程中可能出现兼容性问题。应对措施：制定详细的集成测试计划，分阶段进行联调验证。</w:t>
      </w:r>
    </w:p>
    <w:p w14:paraId="730322B8">
      <w:pPr>
        <w:spacing w:before="240" w:after="120" w:line="360" w:lineRule="auto"/>
      </w:pPr>
      <w:r>
        <w:rPr>
          <w:rFonts w:ascii="黑体" w:hAnsi="黑体" w:eastAsia="黑体"/>
          <w:b/>
          <w:bCs/>
          <w:sz w:val="28"/>
          <w:szCs w:val="28"/>
        </w:rPr>
        <w:t>4.5 运维风险</w:t>
      </w:r>
    </w:p>
    <w:p w14:paraId="64168E34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（1）系统稳定性风险：系统长期运行可能出现性能下降或故障。应对措施：建立完善的监控告警体系，实施定期巡检和健康检查，制定应急预案和故障恢复方案。</w:t>
      </w:r>
    </w:p>
    <w:p w14:paraId="5092686F">
      <w:pPr>
        <w:spacing w:before="0" w:after="0" w:line="360" w:lineRule="auto"/>
        <w:ind w:firstLine="480"/>
        <w:jc w:val="both"/>
      </w:pPr>
      <w:r>
        <w:rPr>
          <w:rFonts w:ascii="宋体" w:hAnsi="宋体" w:eastAsia="宋体"/>
          <w:b w:val="0"/>
          <w:bCs w:val="0"/>
          <w:sz w:val="24"/>
          <w:szCs w:val="24"/>
        </w:rPr>
        <w:t>（2）人员能力风险：运维人员对新技术的掌握程度可能影响系统维护效果。应对措施：加强人员培训，编制详细的运维手册和故障处理指南，建立技术支持体系。</w:t>
      </w:r>
    </w:p>
    <w:sectPr>
      <w:headerReference r:id="rId3" w:type="default"/>
      <w:pgSz w:w="11906" w:h="16838"/>
      <w:pgMar w:top="1440" w:right="144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8A65F"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200275" cy="349885"/>
              <wp:effectExtent l="0" t="0" r="0" b="0"/>
              <wp:wrapNone/>
              <wp:docPr id="1" name="Watermar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000" cy="35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D896B9">
                          <w:pPr>
                            <w:jc w:val="right"/>
                          </w:pPr>
                          <w:r>
                            <w:rPr>
                              <w:rFonts w:ascii="Arial" w:hAnsi="Arial" w:eastAsia="宋体"/>
                              <w:color w:val="808080"/>
                              <w:sz w:val="32"/>
                              <w:szCs w:val="32"/>
                              <w14:textFill>
                                <w14:solidFill>
                                  <w14:srgbClr w14:val="808080">
                                    <w14:alpha w14:val="19999"/>
                                  </w14:srgbClr>
                                </w14:solidFill>
                              </w14:textFill>
                            </w:rPr>
                            <w:t>AI 生成</w:t>
                          </w:r>
                        </w:p>
                      </w:txbxContent>
                    </wps:txbx>
                    <wps:bodyPr wrap="square" lIns="0" tIns="0" rIns="91440" bIns="45720" anchor="b" anchorCtr="0"/>
                  </wps:wsp>
                </a:graphicData>
              </a:graphic>
            </wp:anchor>
          </w:drawing>
        </mc:Choice>
        <mc:Fallback>
          <w:pict>
            <v:shape id="Watermark" o:spid="_x0000_s1026" o:spt="202" type="#_x0000_t202" style="position:absolute;left:0pt;height:27.55pt;width:173.25pt;mso-position-horizontal:right;mso-position-horizontal-relative:page;mso-position-vertical:bottom;mso-position-vertical-relative:page;z-index:-251657216;v-text-anchor:bottom;mso-width-relative:page;mso-height-relative:page;" filled="f" stroked="f" coordsize="21600,21600" o:allowincell="f" o:gfxdata="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vLbXZNUAAAAEAQAADwAAAAAAAAABACAAAAAiAAAAZHJzL2Rvd25yZXYueG1s&#10;UEsBAhQAFAAAAAgAh07iQMHhyRzCAQAAkwMAAA4AAAAAAAAAAQAgAAAAJA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2.54mm,1.27mm">
                <w:txbxContent>
                  <w:p w14:paraId="77D896B9">
                    <w:pPr>
                      <w:jc w:val="right"/>
                    </w:pPr>
                    <w:r>
                      <w:rPr>
                        <w:rFonts w:ascii="Arial" w:hAnsi="Arial" w:eastAsia="宋体"/>
                        <w:color w:val="808080"/>
                        <w:sz w:val="32"/>
                        <w:szCs w:val="32"/>
                        <w14:textFill>
                          <w14:solidFill>
                            <w14:srgbClr w14:val="808080">
                              <w14:alpha w14:val="19999"/>
                            </w14:srgbClr>
                          </w14:solidFill>
                        </w14:textFill>
                      </w:rPr>
                      <w:t>AI 生成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2BF95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/>
      <w:sz w:val="24"/>
      <w:szCs w:val="24"/>
    </w:rPr>
  </w:style>
  <w:style w:type="paragraph" w:styleId="2">
    <w:name w:val="heading 1"/>
    <w:next w:val="1"/>
    <w:qFormat/>
    <w:uiPriority w:val="0"/>
    <w:rPr>
      <w:rFonts w:ascii="宋体" w:hAnsi="宋体" w:eastAsia="宋体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宋体" w:hAnsi="宋体" w:eastAsia="宋体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宋体" w:hAnsi="宋体" w:eastAsia="宋体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宋体" w:hAnsi="宋体" w:eastAsia="宋体"/>
      <w:i/>
      <w:iCs/>
      <w:color w:val="2E74B5"/>
      <w:sz w:val="24"/>
      <w:szCs w:val="24"/>
    </w:rPr>
  </w:style>
  <w:style w:type="paragraph" w:styleId="6">
    <w:name w:val="heading 5"/>
    <w:next w:val="1"/>
    <w:qFormat/>
    <w:uiPriority w:val="0"/>
    <w:rPr>
      <w:rFonts w:ascii="宋体" w:hAnsi="宋体" w:eastAsia="宋体"/>
      <w:color w:val="2E74B5"/>
      <w:sz w:val="24"/>
      <w:szCs w:val="24"/>
    </w:rPr>
  </w:style>
  <w:style w:type="paragraph" w:styleId="7">
    <w:name w:val="heading 6"/>
    <w:next w:val="1"/>
    <w:qFormat/>
    <w:uiPriority w:val="0"/>
    <w:rPr>
      <w:rFonts w:ascii="宋体" w:hAnsi="宋体" w:eastAsia="宋体"/>
      <w:color w:val="1F4D78"/>
      <w:sz w:val="24"/>
      <w:szCs w:val="24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宋体" w:hAnsi="宋体" w:eastAsia="宋体"/>
      <w:sz w:val="20"/>
      <w:szCs w:val="20"/>
    </w:rPr>
  </w:style>
  <w:style w:type="paragraph" w:styleId="9">
    <w:name w:val="footnote text"/>
    <w:link w:val="17"/>
    <w:semiHidden/>
    <w:unhideWhenUsed/>
    <w:qFormat/>
    <w:uiPriority w:val="99"/>
    <w:pPr>
      <w:spacing w:after="0" w:line="240" w:lineRule="auto"/>
    </w:pPr>
    <w:rPr>
      <w:rFonts w:ascii="宋体" w:hAnsi="宋体" w:eastAsia="宋体"/>
      <w:sz w:val="20"/>
      <w:szCs w:val="20"/>
    </w:rPr>
  </w:style>
  <w:style w:type="paragraph" w:styleId="10">
    <w:name w:val="Title"/>
    <w:qFormat/>
    <w:uiPriority w:val="0"/>
    <w:rPr>
      <w:rFonts w:ascii="宋体" w:hAnsi="宋体" w:eastAsia="宋体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宋体" w:hAnsi="宋体" w:eastAsia="宋体"/>
      <w:sz w:val="24"/>
      <w:szCs w:val="24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2499</Words>
  <Characters>2856</Characters>
  <TotalTime>1</TotalTime>
  <ScaleCrop>false</ScaleCrop>
  <LinksUpToDate>false</LinksUpToDate>
  <CharactersWithSpaces>2874</CharactersWithSpaces>
  <Application>WPS Office_12.1.0.26391_F1E327BC-269C-435d-A152-05C5408002CA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2026-07-14T10:19:00Z</dcterms:created>
  <dc:creator>Un-named</dc:creator>
  <cp:lastModifiedBy>阳</cp:lastModifiedBy>
  <dcterms:modified xsi:type="dcterms:W3CDTF">2026-07-14T12:42:04Z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87C1FCE13C2D428FAE5A6B6C49989B6F_13</vt:lpwstr>
  </property>
</Properties>
</file>