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035D1">
      <w:pPr>
        <w:pStyle w:val="2"/>
        <w:spacing w:after="200"/>
        <w:jc w:val="center"/>
      </w:pPr>
      <w:r>
        <w:t>模型仓库优化方案</w:t>
      </w:r>
    </w:p>
    <w:p w14:paraId="34F2CE3B">
      <w:pPr>
        <w:pStyle w:val="3"/>
        <w:spacing w:after="200"/>
        <w:jc w:val="left"/>
      </w:pPr>
      <w:r>
        <w:t>一、方案概述</w:t>
      </w:r>
    </w:p>
    <w:p w14:paraId="176CFF4E">
      <w:pPr>
        <w:pStyle w:val="4"/>
        <w:spacing w:after="200"/>
        <w:jc w:val="left"/>
      </w:pPr>
      <w:r>
        <w:t>1.1 建设目标</w:t>
      </w:r>
    </w:p>
    <w:p w14:paraId="1A7CC362">
      <w:pPr>
        <w:spacing w:after="120"/>
        <w:jc w:val="left"/>
      </w:pPr>
      <w:r>
        <w:t>针对当前模型仓库版本管理不规范、正式版本易被篡改、操作门槛高、系统对接难的问题，基于 Git 标签 + 独立目录存储的核心思路，打造一套</w:t>
      </w:r>
      <w:r>
        <w:rPr>
          <w:b/>
          <w:bCs/>
        </w:rPr>
        <w:t>版本可追溯、正式版本不可变、操作低门槛、状态可对接</w:t>
      </w:r>
      <w:r>
        <w:t>的标准化模型仓库体系，满足模型训练、发布、生产调用全流程的管控需求。</w:t>
      </w:r>
    </w:p>
    <w:p w14:paraId="1766A9AF">
      <w:pPr>
        <w:spacing w:after="200"/>
      </w:pPr>
      <w:r>
        <w:t xml:space="preserve"> </w:t>
      </w:r>
    </w:p>
    <w:p w14:paraId="13C7E249">
      <w:pPr>
        <w:pStyle w:val="4"/>
        <w:spacing w:after="200"/>
        <w:jc w:val="left"/>
      </w:pPr>
      <w:r>
        <w:t>1.2 设计原则</w:t>
      </w:r>
    </w:p>
    <w:p w14:paraId="7A590D7B">
      <w:pPr>
        <w:spacing w:after="100"/>
        <w:ind w:left="20"/>
        <w:jc w:val="left"/>
      </w:pPr>
      <w:r>
        <w:t xml:space="preserve">1. </w:t>
      </w:r>
      <w:r>
        <w:rPr>
          <w:b/>
          <w:bCs/>
        </w:rPr>
        <w:t>不可变性原则</w:t>
      </w:r>
      <w:r>
        <w:t>：正式发布的版本从存储、流程、规则三层锁定，禁止任何修改与覆盖；</w:t>
      </w:r>
    </w:p>
    <w:p w14:paraId="2C7EDEFF">
      <w:pPr>
        <w:spacing w:after="100"/>
        <w:ind w:left="20"/>
        <w:jc w:val="left"/>
      </w:pPr>
      <w:r>
        <w:t xml:space="preserve">2. </w:t>
      </w:r>
      <w:r>
        <w:rPr>
          <w:b/>
          <w:bCs/>
        </w:rPr>
        <w:t>可追溯性原则</w:t>
      </w:r>
      <w:r>
        <w:t>：每个版本有唯一标识、完整说明、全链路操作记录，可精准索引定位；</w:t>
      </w:r>
    </w:p>
    <w:p w14:paraId="44A07730">
      <w:pPr>
        <w:spacing w:after="100"/>
        <w:ind w:left="20"/>
        <w:jc w:val="left"/>
      </w:pPr>
      <w:r>
        <w:t xml:space="preserve">3. </w:t>
      </w:r>
      <w:r>
        <w:rPr>
          <w:b/>
          <w:bCs/>
        </w:rPr>
        <w:t>易用性原则</w:t>
      </w:r>
      <w:r>
        <w:t>：可视化界面操作，标准化目录与文档，降低使用与理解成本；</w:t>
      </w:r>
    </w:p>
    <w:p w14:paraId="71A08ECC">
      <w:pPr>
        <w:spacing w:after="100"/>
        <w:ind w:left="20"/>
        <w:jc w:val="left"/>
      </w:pPr>
      <w:r>
        <w:t xml:space="preserve">4. </w:t>
      </w:r>
      <w:r>
        <w:rPr>
          <w:b/>
          <w:bCs/>
        </w:rPr>
        <w:t>可对接性原则</w:t>
      </w:r>
      <w:r>
        <w:t>：统一生命周期状态机，标准化字段与接口，方便上下游训练平台、推理平台对接。</w:t>
      </w:r>
    </w:p>
    <w:p w14:paraId="58993E9C">
      <w:pPr>
        <w:spacing w:after="200"/>
      </w:pPr>
      <w:r>
        <w:t xml:space="preserve"> </w:t>
      </w:r>
    </w:p>
    <w:p w14:paraId="2F1EC2E2">
      <w:pPr>
        <w:pStyle w:val="3"/>
        <w:spacing w:after="200"/>
        <w:jc w:val="left"/>
      </w:pPr>
      <w:r>
        <w:t>二、整体架构设计</w:t>
      </w:r>
    </w:p>
    <w:p w14:paraId="290FA3C7">
      <w:pPr>
        <w:spacing w:after="120"/>
        <w:jc w:val="left"/>
      </w:pPr>
      <w:r>
        <w:t>采用三层存储架构，实现训练产物与正式版本物理隔离、版本索引与实体文件解耦：</w:t>
      </w:r>
    </w:p>
    <w:p w14:paraId="03975E8D">
      <w:pPr>
        <w:spacing w:after="200"/>
      </w:pPr>
      <w:r>
        <w:t xml:space="preserve"> </w:t>
      </w:r>
    </w:p>
    <w:p w14:paraId="437D0959">
      <w:pPr>
        <w:pStyle w:val="4"/>
        <w:spacing w:after="200"/>
        <w:jc w:val="left"/>
      </w:pPr>
      <w:r>
        <w:t>2.1 三层存储架构</w:t>
      </w:r>
    </w:p>
    <w:p w14:paraId="6E7CC68B">
      <w:pPr>
        <w:spacing w:after="240"/>
      </w:pPr>
      <w:r>
        <w:t xml:space="preserve"> </w:t>
      </w:r>
    </w:p>
    <w:tbl>
      <w:tblPr>
        <w:tblStyle w:val="10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80" w:type="dxa"/>
          <w:left w:w="120" w:type="dxa"/>
          <w:bottom w:w="80" w:type="dxa"/>
          <w:right w:w="120" w:type="dxa"/>
        </w:tblCellMar>
      </w:tblPr>
      <w:tblGrid>
        <w:gridCol w:w="1090"/>
        <w:gridCol w:w="1853"/>
        <w:gridCol w:w="2180"/>
        <w:gridCol w:w="4143"/>
      </w:tblGrid>
      <w:tr w14:paraId="66CEB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0" w:type="dxa"/>
            <w:bottom w:w="80" w:type="dxa"/>
            <w:right w:w="120" w:type="dxa"/>
          </w:tblCellMar>
        </w:tblPrEx>
        <w:trPr>
          <w:tblHeader/>
        </w:trPr>
        <w:tc>
          <w:p w14:paraId="5C717900">
            <w:pPr>
              <w:jc w:val="left"/>
            </w:pPr>
            <w:r>
              <w:rPr>
                <w:b/>
                <w:bCs/>
              </w:rPr>
              <w:t>层级</w:t>
            </w:r>
          </w:p>
        </w:tc>
        <w:tc>
          <w:p w14:paraId="464336FA">
            <w:pPr>
              <w:jc w:val="left"/>
            </w:pPr>
            <w:r>
              <w:rPr>
                <w:b/>
                <w:bCs/>
              </w:rPr>
              <w:t>名称</w:t>
            </w:r>
          </w:p>
        </w:tc>
        <w:tc>
          <w:p w14:paraId="15CEA45A">
            <w:pPr>
              <w:jc w:val="left"/>
            </w:pPr>
            <w:r>
              <w:rPr>
                <w:b/>
                <w:bCs/>
              </w:rPr>
              <w:t>定位</w:t>
            </w:r>
          </w:p>
        </w:tc>
        <w:tc>
          <w:p w14:paraId="0E5DA8C4">
            <w:pPr>
              <w:jc w:val="left"/>
            </w:pPr>
            <w:r>
              <w:rPr>
                <w:b/>
                <w:bCs/>
              </w:rPr>
              <w:t>核心特性</w:t>
            </w:r>
          </w:p>
        </w:tc>
      </w:tr>
      <w:tr w14:paraId="72C44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0" w:type="dxa"/>
            <w:bottom w:w="80" w:type="dxa"/>
            <w:right w:w="120" w:type="dxa"/>
          </w:tblCellMar>
        </w:tblPrEx>
        <w:tc>
          <w:p w14:paraId="2374C33E">
            <w:pPr>
              <w:jc w:val="left"/>
            </w:pPr>
            <w:r>
              <w:t>第一层</w:t>
            </w:r>
          </w:p>
        </w:tc>
        <w:tc>
          <w:p w14:paraId="63712543">
            <w:pPr>
              <w:jc w:val="left"/>
            </w:pPr>
            <w:r>
              <w:t>训练产物暂存区</w:t>
            </w:r>
          </w:p>
        </w:tc>
        <w:tc>
          <w:p w14:paraId="505DEB8F">
            <w:pPr>
              <w:jc w:val="left"/>
            </w:pPr>
            <w:r>
              <w:t>训练完成的原始模型存放区</w:t>
            </w:r>
          </w:p>
        </w:tc>
        <w:tc>
          <w:p w14:paraId="2564AB76">
            <w:pPr>
              <w:jc w:val="left"/>
            </w:pPr>
            <w:r>
              <w:t>独立目录存储，可编辑、可删除，未纳入正式版本管控</w:t>
            </w:r>
          </w:p>
        </w:tc>
      </w:tr>
      <w:tr w14:paraId="60B36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0" w:type="dxa"/>
            <w:bottom w:w="80" w:type="dxa"/>
            <w:right w:w="120" w:type="dxa"/>
          </w:tblCellMar>
        </w:tblPrEx>
        <w:tc>
          <w:p w14:paraId="518D41CF">
            <w:pPr>
              <w:jc w:val="left"/>
            </w:pPr>
            <w:r>
              <w:t>第二层</w:t>
            </w:r>
          </w:p>
        </w:tc>
        <w:tc>
          <w:p w14:paraId="50AA617B">
            <w:pPr>
              <w:jc w:val="left"/>
            </w:pPr>
            <w:r>
              <w:t>Git 模型仓库核心区</w:t>
            </w:r>
          </w:p>
        </w:tc>
        <w:tc>
          <w:p w14:paraId="6CD490D7">
            <w:pPr>
              <w:jc w:val="left"/>
            </w:pPr>
            <w:r>
              <w:t>正式版本管控核心</w:t>
            </w:r>
          </w:p>
        </w:tc>
        <w:tc>
          <w:p w14:paraId="3457112B">
            <w:pPr>
              <w:jc w:val="left"/>
            </w:pPr>
            <w:r>
              <w:t>基于 Git 标签管理，每个版本对应独立只读目录，全历史可追溯</w:t>
            </w:r>
          </w:p>
        </w:tc>
      </w:tr>
      <w:tr w14:paraId="67CFE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0" w:type="dxa"/>
            <w:bottom w:w="80" w:type="dxa"/>
            <w:right w:w="120" w:type="dxa"/>
          </w:tblCellMar>
        </w:tblPrEx>
        <w:tc>
          <w:p w14:paraId="1F93232A">
            <w:pPr>
              <w:jc w:val="left"/>
            </w:pPr>
            <w:r>
              <w:t>第三层</w:t>
            </w:r>
          </w:p>
        </w:tc>
        <w:tc>
          <w:p w14:paraId="48D0F009">
            <w:pPr>
              <w:jc w:val="left"/>
            </w:pPr>
            <w:r>
              <w:t>版本索引访问层</w:t>
            </w:r>
          </w:p>
        </w:tc>
        <w:tc>
          <w:p w14:paraId="4D6AF74D">
            <w:pPr>
              <w:jc w:val="left"/>
            </w:pPr>
            <w:r>
              <w:t>快速定位与访问入口</w:t>
            </w:r>
          </w:p>
        </w:tc>
        <w:tc>
          <w:p w14:paraId="72AFAF56">
            <w:pPr>
              <w:jc w:val="left"/>
            </w:pPr>
            <w:r>
              <w:t>通过通过模型id+模型名称+版本号拼接的方式来跳转到这个目录下，支持下载，删除，不支持修改</w:t>
            </w:r>
          </w:p>
        </w:tc>
      </w:tr>
    </w:tbl>
    <w:p w14:paraId="02445F44">
      <w:pPr>
        <w:spacing w:before="240"/>
      </w:pPr>
      <w:r>
        <w:t xml:space="preserve"> </w:t>
      </w:r>
    </w:p>
    <w:p w14:paraId="6D78EE4B">
      <w:pPr>
        <w:pStyle w:val="4"/>
        <w:spacing w:after="200"/>
        <w:jc w:val="left"/>
      </w:pPr>
      <w:r>
        <w:t>2.2 核心流转逻辑</w:t>
      </w:r>
    </w:p>
    <w:p w14:paraId="4A9C49A0">
      <w:pPr>
        <w:spacing w:after="120"/>
        <w:jc w:val="left"/>
      </w:pPr>
      <w:r>
        <w:t>模型训练完成 → 存入暂存区 → 一键同步至 Git 工作区 → 提交并打标签生成正式版本 → 版本归档只读化 → 更新索引软链接 → 对外提供服务</w:t>
      </w:r>
    </w:p>
    <w:p w14:paraId="6AD98E9E">
      <w:pPr>
        <w:spacing w:after="200"/>
      </w:pPr>
      <w:r>
        <w:t xml:space="preserve"> </w:t>
      </w:r>
    </w:p>
    <w:p w14:paraId="30F1FA82">
      <w:pPr>
        <w:pStyle w:val="3"/>
        <w:spacing w:after="200"/>
        <w:jc w:val="left"/>
      </w:pPr>
      <w:r>
        <w:t>三、版本化管理体系（满足：有版本、有介绍）</w:t>
      </w:r>
    </w:p>
    <w:p w14:paraId="7A253B37">
      <w:pPr>
        <w:pStyle w:val="4"/>
        <w:spacing w:after="200"/>
        <w:jc w:val="left"/>
      </w:pPr>
      <w:r>
        <w:t>3.1 版本号命名规范</w:t>
      </w:r>
    </w:p>
    <w:p w14:paraId="70982CBA">
      <w:pPr>
        <w:spacing w:after="120"/>
        <w:jc w:val="left"/>
      </w:pPr>
      <w:r>
        <w:t>采用语义化版本命名规则，保证版本含义清晰、迭代可区分：</w:t>
      </w:r>
    </w:p>
    <w:p w14:paraId="65AFAE7F">
      <w:pPr>
        <w:spacing w:after="200"/>
      </w:pPr>
      <w:r>
        <w:t xml:space="preserve"> </w:t>
      </w:r>
    </w:p>
    <w:p w14:paraId="7D47A582">
      <w:pPr>
        <w:pStyle w:val="14"/>
        <w:numPr>
          <w:ilvl w:val="0"/>
          <w:numId w:val="1"/>
        </w:numPr>
        <w:spacing w:after="100"/>
        <w:ind w:left="240"/>
        <w:jc w:val="left"/>
      </w:pPr>
      <w:r>
        <w:t>格式：</w:t>
      </w:r>
      <w:r>
        <w:rPr>
          <w:rFonts w:ascii="Courier New" w:hAnsi="Courier New" w:eastAsia="Courier New" w:cs="Courier New"/>
          <w:shd w:val="clear" w:color="auto" w:fill="F1F5F9"/>
        </w:rPr>
        <w:t>v{主版本}.{次版本}.{修订号}</w:t>
      </w:r>
      <w:r>
        <w:t>，示例：</w:t>
      </w:r>
      <w:r>
        <w:rPr>
          <w:rFonts w:ascii="Courier New" w:hAnsi="Courier New" w:eastAsia="Courier New" w:cs="Courier New"/>
          <w:shd w:val="clear" w:color="auto" w:fill="F1F5F9"/>
        </w:rPr>
        <w:t>v1.2.0</w:t>
      </w:r>
    </w:p>
    <w:p w14:paraId="5E525A48">
      <w:pPr>
        <w:pStyle w:val="14"/>
        <w:numPr>
          <w:ilvl w:val="1"/>
          <w:numId w:val="1"/>
        </w:numPr>
        <w:spacing w:after="100"/>
        <w:ind w:left="660"/>
        <w:jc w:val="left"/>
      </w:pPr>
      <w:r>
        <w:t>主版本：架构大改、能力重大升级，不兼容旧版本</w:t>
      </w:r>
    </w:p>
    <w:p w14:paraId="1CE0019F">
      <w:pPr>
        <w:pStyle w:val="14"/>
        <w:numPr>
          <w:ilvl w:val="1"/>
          <w:numId w:val="1"/>
        </w:numPr>
        <w:spacing w:after="100"/>
        <w:ind w:left="660"/>
        <w:jc w:val="left"/>
      </w:pPr>
      <w:r>
        <w:t>次版本：功能新增、精度优化，兼容旧版本</w:t>
      </w:r>
    </w:p>
    <w:p w14:paraId="236293FA">
      <w:pPr>
        <w:pStyle w:val="14"/>
        <w:numPr>
          <w:ilvl w:val="1"/>
          <w:numId w:val="1"/>
        </w:numPr>
        <w:spacing w:after="100"/>
        <w:ind w:left="660"/>
        <w:jc w:val="left"/>
      </w:pPr>
      <w:r>
        <w:t>修订号：bug 修复、小参数调整</w:t>
      </w:r>
    </w:p>
    <w:p w14:paraId="10CE45DD">
      <w:pPr>
        <w:pStyle w:val="14"/>
        <w:numPr>
          <w:ilvl w:val="0"/>
          <w:numId w:val="1"/>
        </w:numPr>
        <w:spacing w:after="100"/>
        <w:ind w:left="240"/>
        <w:jc w:val="left"/>
      </w:pPr>
      <w:r>
        <w:t xml:space="preserve">扩展标签：可追加后缀标识阶段，如 </w:t>
      </w:r>
      <w:r>
        <w:rPr>
          <w:rFonts w:ascii="Courier New" w:hAnsi="Courier New" w:eastAsia="Courier New" w:cs="Courier New"/>
          <w:shd w:val="clear" w:color="auto" w:fill="F1F5F9"/>
        </w:rPr>
        <w:t>v1.2.0-beta</w:t>
      </w:r>
      <w:r>
        <w:t>、</w:t>
      </w:r>
      <w:r>
        <w:rPr>
          <w:rFonts w:ascii="Courier New" w:hAnsi="Courier New" w:eastAsia="Courier New" w:cs="Courier New"/>
          <w:shd w:val="clear" w:color="auto" w:fill="F1F5F9"/>
        </w:rPr>
        <w:t>v1.2.0-rc</w:t>
      </w:r>
      <w:r>
        <w:t>，正式版本无后缀</w:t>
      </w:r>
    </w:p>
    <w:p w14:paraId="401FFB5F">
      <w:pPr>
        <w:spacing w:after="200"/>
      </w:pPr>
      <w:r>
        <w:t xml:space="preserve"> </w:t>
      </w:r>
    </w:p>
    <w:p w14:paraId="67F94CEA">
      <w:pPr>
        <w:pStyle w:val="4"/>
        <w:spacing w:after="200"/>
        <w:jc w:val="left"/>
      </w:pPr>
      <w:r>
        <w:t>3.2 Git Tag 版本绑定机制</w:t>
      </w:r>
    </w:p>
    <w:p w14:paraId="1E4553E1">
      <w:pPr>
        <w:spacing w:after="100"/>
        <w:ind w:left="20"/>
        <w:jc w:val="left"/>
      </w:pPr>
      <w:r>
        <w:t xml:space="preserve">1. </w:t>
      </w:r>
      <w:r>
        <w:rPr>
          <w:b/>
          <w:bCs/>
        </w:rPr>
        <w:t>标签命名规则</w:t>
      </w:r>
      <w:r>
        <w:t xml:space="preserve">：标签名采用复合键格式 </w:t>
      </w:r>
      <w:r>
        <w:rPr>
          <w:rFonts w:ascii="Courier New" w:hAnsi="Courier New" w:eastAsia="Courier New" w:cs="Courier New"/>
          <w:shd w:val="clear" w:color="auto" w:fill="F1F5F9"/>
        </w:rPr>
        <w:t>{模型id}_{模型名称}_{版本号}</w:t>
      </w:r>
      <w:r>
        <w:t>，示例：</w:t>
      </w:r>
      <w:r>
        <w:rPr>
          <w:rFonts w:ascii="Courier New" w:hAnsi="Courier New" w:eastAsia="Courier New" w:cs="Courier New"/>
          <w:shd w:val="clear" w:color="auto" w:fill="F1F5F9"/>
        </w:rPr>
        <w:t>1001_yolov8_v1.0.0</w:t>
      </w:r>
      <w:r>
        <w:t>；</w:t>
      </w:r>
    </w:p>
    <w:p w14:paraId="0D370146">
      <w:pPr>
        <w:pStyle w:val="14"/>
        <w:numPr>
          <w:ilvl w:val="1"/>
          <w:numId w:val="1"/>
        </w:numPr>
        <w:spacing w:after="100"/>
        <w:ind w:left="660"/>
        <w:jc w:val="left"/>
      </w:pPr>
      <w:r>
        <w:t>模型id：模型在系统中的唯一标识，数字或字符串格式</w:t>
      </w:r>
    </w:p>
    <w:p w14:paraId="1B1EEA1F">
      <w:pPr>
        <w:pStyle w:val="14"/>
        <w:numPr>
          <w:ilvl w:val="1"/>
          <w:numId w:val="1"/>
        </w:numPr>
        <w:spacing w:after="100"/>
        <w:ind w:left="660"/>
        <w:jc w:val="left"/>
      </w:pPr>
      <w:r>
        <w:t>模型名称：模型的业务名称，小写字母+下划线</w:t>
      </w:r>
    </w:p>
    <w:p w14:paraId="69A62017">
      <w:pPr>
        <w:pStyle w:val="14"/>
        <w:numPr>
          <w:ilvl w:val="1"/>
          <w:numId w:val="1"/>
        </w:numPr>
        <w:spacing w:after="100"/>
        <w:ind w:left="660"/>
        <w:jc w:val="left"/>
      </w:pPr>
      <w:r>
        <w:t xml:space="preserve">版本号：语义化版本号，格式 </w:t>
      </w:r>
      <w:r>
        <w:rPr>
          <w:rFonts w:ascii="Courier New" w:hAnsi="Courier New" w:eastAsia="Courier New" w:cs="Courier New"/>
          <w:shd w:val="clear" w:color="auto" w:fill="F1F5F9"/>
        </w:rPr>
        <w:t>v{主版本}.{次版本}.{修订号}</w:t>
      </w:r>
    </w:p>
    <w:p w14:paraId="225999E6">
      <w:pPr>
        <w:spacing w:after="100"/>
        <w:ind w:left="20"/>
        <w:jc w:val="left"/>
      </w:pPr>
      <w:r>
        <w:t xml:space="preserve">2. </w:t>
      </w:r>
      <w:r>
        <w:rPr>
          <w:b/>
          <w:bCs/>
        </w:rPr>
        <w:t>标签元数据</w:t>
      </w:r>
      <w:r>
        <w:t>：打标签时附带注解信息，包含：版本说明、发布人、发布时间、模型文件 MD5 校验值、关联训练任务 ID、模型类型、输入输出规格；</w:t>
      </w:r>
    </w:p>
    <w:p w14:paraId="522D5181">
      <w:pPr>
        <w:spacing w:after="100"/>
        <w:ind w:left="20"/>
        <w:jc w:val="left"/>
      </w:pPr>
      <w:r>
        <w:t xml:space="preserve">3. </w:t>
      </w:r>
      <w:r>
        <w:rPr>
          <w:b/>
          <w:bCs/>
        </w:rPr>
        <w:t>目录映射关系</w:t>
      </w:r>
      <w:r>
        <w:t xml:space="preserve">：标签名与正式版本目录名一一对应，通过标签可直接定位到 </w:t>
      </w:r>
      <w:r>
        <w:rPr>
          <w:rFonts w:ascii="Courier New" w:hAnsi="Courier New" w:eastAsia="Courier New" w:cs="Courier New"/>
          <w:shd w:val="clear" w:color="auto" w:fill="F1F5F9"/>
        </w:rPr>
        <w:t>models/{模型id}_{模型名称}_{版本号}/</w:t>
      </w:r>
      <w:r>
        <w:t xml:space="preserve"> 目录；</w:t>
      </w:r>
    </w:p>
    <w:p w14:paraId="4CC6E9D7">
      <w:pPr>
        <w:spacing w:after="100"/>
        <w:ind w:left="20"/>
        <w:jc w:val="left"/>
      </w:pPr>
      <w:r>
        <w:t xml:space="preserve">4. </w:t>
      </w:r>
      <w:r>
        <w:rPr>
          <w:b/>
          <w:bCs/>
        </w:rPr>
        <w:t>索引能力</w:t>
      </w:r>
      <w:r>
        <w:t>：通过指定的命名规则可直接定位到对应版本的代码、配置、模型文件快照，实现全链路追溯。</w:t>
      </w:r>
    </w:p>
    <w:p w14:paraId="3F41459D">
      <w:pPr>
        <w:spacing w:after="200"/>
      </w:pPr>
      <w:r>
        <w:t xml:space="preserve"> </w:t>
      </w:r>
    </w:p>
    <w:p w14:paraId="4F503D6D">
      <w:pPr>
        <w:pStyle w:val="4"/>
        <w:spacing w:after="200"/>
        <w:jc w:val="left"/>
      </w:pPr>
      <w:r>
        <w:t>3.3 统一版本目录结构</w:t>
      </w:r>
    </w:p>
    <w:p w14:paraId="7030D4B8">
      <w:pPr>
        <w:spacing w:after="120"/>
        <w:jc w:val="left"/>
      </w:pPr>
      <w:r>
        <w:t xml:space="preserve">每个版本对应独立目录，目录名采用复合键格式 </w:t>
      </w:r>
      <w:r>
        <w:rPr>
          <w:rFonts w:ascii="Courier New" w:hAnsi="Courier New" w:eastAsia="Courier New" w:cs="Courier New"/>
          <w:shd w:val="clear" w:color="auto" w:fill="F1F5F9"/>
        </w:rPr>
        <w:t>{模型id}_{模型名称}_{版本号}</w:t>
      </w:r>
      <w:r>
        <w:t>，结构全局统一，降低理解与使用成本。正式版本目录设置为只读权限，禁止修改。</w:t>
      </w:r>
    </w:p>
    <w:p w14:paraId="0B4802B8">
      <w:pPr>
        <w:spacing w:after="200"/>
      </w:pPr>
      <w:r>
        <w:t xml:space="preserve"> </w:t>
      </w:r>
    </w:p>
    <w:p w14:paraId="7F58F572">
      <w:pPr>
        <w:shd w:val="clear" w:color="auto" w:fill="000000"/>
        <w:spacing w:before="160" w:after="200"/>
        <w:ind w:left="240" w:right="240"/>
        <w:jc w:val="left"/>
      </w:pP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models/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├── models-index/              # 正式版本实体目录（只读）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│   ├── 1001_yolov8_v1.0.0/    # 复合键目录：模型id_模型名称_版本号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│   │   ├── model.bin          # 模型主体文件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│   │   ├── config.yaml        # 模型配置参数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│   │   └── README.md          # 本版本说明文档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│   ├── 1001_yolov8_v1.1.0/    # 同一模型的不同版本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│   └── 2001_resnet50_v2.0.0/  # 不同模型的版本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│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├── yolov8/                     # 模型文件目录（与git远程双向同步）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│   ├── model.bin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│   ├── config.yaml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│   └── README.md              # 模型说明文档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└── workspace/                 # Git工作区，同步暂存用（可写）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</w:p>
    <w:p w14:paraId="1A4DD48C">
      <w:pPr>
        <w:spacing w:after="200"/>
      </w:pPr>
      <w:r>
        <w:t xml:space="preserve"> </w:t>
      </w:r>
    </w:p>
    <w:p w14:paraId="40752B03">
      <w:pPr>
        <w:spacing w:after="120"/>
        <w:jc w:val="left"/>
      </w:pPr>
      <w:r>
        <w:rPr>
          <w:b/>
          <w:bCs/>
        </w:rPr>
        <w:t>目录命名规范说明：</w:t>
      </w:r>
    </w:p>
    <w:p w14:paraId="18626656">
      <w:pPr>
        <w:spacing w:after="200"/>
      </w:pPr>
      <w:r>
        <w:t xml:space="preserve"> </w:t>
      </w:r>
    </w:p>
    <w:tbl>
      <w:tblPr>
        <w:tblStyle w:val="10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80" w:type="dxa"/>
          <w:left w:w="120" w:type="dxa"/>
          <w:bottom w:w="80" w:type="dxa"/>
          <w:right w:w="120" w:type="dxa"/>
        </w:tblCellMar>
      </w:tblPr>
      <w:tblGrid>
        <w:gridCol w:w="1564"/>
        <w:gridCol w:w="2647"/>
        <w:gridCol w:w="2166"/>
        <w:gridCol w:w="2889"/>
      </w:tblGrid>
      <w:tr w14:paraId="1853F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0" w:type="dxa"/>
            <w:bottom w:w="80" w:type="dxa"/>
            <w:right w:w="120" w:type="dxa"/>
          </w:tblCellMar>
        </w:tblPrEx>
        <w:trPr>
          <w:tblHeader/>
        </w:trPr>
        <w:tc>
          <w:p w14:paraId="7C4E04C4">
            <w:pPr>
              <w:jc w:val="left"/>
            </w:pPr>
            <w:r>
              <w:rPr>
                <w:b/>
                <w:bCs/>
              </w:rPr>
              <w:t>组件</w:t>
            </w:r>
          </w:p>
        </w:tc>
        <w:tc>
          <w:p w14:paraId="425C1ED8">
            <w:pPr>
              <w:jc w:val="left"/>
            </w:pPr>
            <w:r>
              <w:rPr>
                <w:b/>
                <w:bCs/>
              </w:rPr>
              <w:t>格式</w:t>
            </w:r>
          </w:p>
        </w:tc>
        <w:tc>
          <w:p w14:paraId="20CE123E">
            <w:pPr>
              <w:jc w:val="left"/>
            </w:pPr>
            <w:r>
              <w:rPr>
                <w:b/>
                <w:bCs/>
              </w:rPr>
              <w:t>示例</w:t>
            </w:r>
          </w:p>
        </w:tc>
        <w:tc>
          <w:p w14:paraId="796456ED">
            <w:pPr>
              <w:jc w:val="left"/>
            </w:pPr>
            <w:r>
              <w:rPr>
                <w:b/>
                <w:bCs/>
              </w:rPr>
              <w:t>说明</w:t>
            </w:r>
          </w:p>
        </w:tc>
      </w:tr>
      <w:tr w14:paraId="14959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0" w:type="dxa"/>
            <w:bottom w:w="80" w:type="dxa"/>
            <w:right w:w="120" w:type="dxa"/>
          </w:tblCellMar>
        </w:tblPrEx>
        <w:tc>
          <w:p w14:paraId="3918F15A">
            <w:pPr>
              <w:jc w:val="left"/>
            </w:pPr>
            <w:r>
              <w:t>模型id</w:t>
            </w:r>
          </w:p>
        </w:tc>
        <w:tc>
          <w:p w14:paraId="30935664">
            <w:pPr>
              <w:jc w:val="left"/>
            </w:pPr>
            <w:r>
              <w:t>数字或字符串</w:t>
            </w:r>
          </w:p>
        </w:tc>
        <w:tc>
          <w:p w14:paraId="76AAA4A7">
            <w:pPr>
              <w:jc w:val="left"/>
            </w:pPr>
            <w:r>
              <w:rPr>
                <w:rFonts w:ascii="Courier New" w:hAnsi="Courier New" w:eastAsia="Courier New" w:cs="Courier New"/>
                <w:shd w:val="clear" w:color="auto" w:fill="F1F5F9"/>
              </w:rPr>
              <w:t>1001</w:t>
            </w:r>
          </w:p>
        </w:tc>
        <w:tc>
          <w:p w14:paraId="62DC0A5F">
            <w:pPr>
              <w:jc w:val="left"/>
            </w:pPr>
            <w:r>
              <w:t>模型在系统中的唯一标识</w:t>
            </w:r>
          </w:p>
        </w:tc>
      </w:tr>
      <w:tr w14:paraId="24381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0" w:type="dxa"/>
            <w:bottom w:w="80" w:type="dxa"/>
            <w:right w:w="120" w:type="dxa"/>
          </w:tblCellMar>
        </w:tblPrEx>
        <w:tc>
          <w:p w14:paraId="56D972DD">
            <w:pPr>
              <w:jc w:val="left"/>
            </w:pPr>
            <w:r>
              <w:t>模型名称</w:t>
            </w:r>
          </w:p>
        </w:tc>
        <w:tc>
          <w:p w14:paraId="626D4006">
            <w:pPr>
              <w:jc w:val="left"/>
            </w:pPr>
            <w:r>
              <w:t>小写字母+下划线</w:t>
            </w:r>
          </w:p>
        </w:tc>
        <w:tc>
          <w:p w14:paraId="20617FEE">
            <w:pPr>
              <w:jc w:val="left"/>
            </w:pPr>
            <w:r>
              <w:rPr>
                <w:rFonts w:ascii="Courier New" w:hAnsi="Courier New" w:eastAsia="Courier New" w:cs="Courier New"/>
                <w:shd w:val="clear" w:color="auto" w:fill="F1F5F9"/>
              </w:rPr>
              <w:t>yolov8</w:t>
            </w:r>
          </w:p>
        </w:tc>
        <w:tc>
          <w:p w14:paraId="4F6495D7">
            <w:pPr>
              <w:jc w:val="left"/>
            </w:pPr>
            <w:r>
              <w:t>模型的业务名称，便于识别</w:t>
            </w:r>
          </w:p>
        </w:tc>
      </w:tr>
      <w:tr w14:paraId="37D4D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0" w:type="dxa"/>
            <w:bottom w:w="80" w:type="dxa"/>
            <w:right w:w="120" w:type="dxa"/>
          </w:tblCellMar>
        </w:tblPrEx>
        <w:tc>
          <w:p w14:paraId="4BD63B8E">
            <w:pPr>
              <w:jc w:val="left"/>
            </w:pPr>
            <w:r>
              <w:t>版本号</w:t>
            </w:r>
          </w:p>
        </w:tc>
        <w:tc>
          <w:p w14:paraId="14A46934">
            <w:pPr>
              <w:jc w:val="left"/>
            </w:pPr>
            <w:r>
              <w:rPr>
                <w:rFonts w:ascii="Courier New" w:hAnsi="Courier New" w:eastAsia="Courier New" w:cs="Courier New"/>
                <w:shd w:val="clear" w:color="auto" w:fill="F1F5F9"/>
              </w:rPr>
              <w:t>v{主版本}.{次版本}.{修订号}</w:t>
            </w:r>
          </w:p>
        </w:tc>
        <w:tc>
          <w:p w14:paraId="01F03B28">
            <w:pPr>
              <w:jc w:val="left"/>
            </w:pPr>
            <w:r>
              <w:rPr>
                <w:rFonts w:ascii="Courier New" w:hAnsi="Courier New" w:eastAsia="Courier New" w:cs="Courier New"/>
                <w:shd w:val="clear" w:color="auto" w:fill="F1F5F9"/>
              </w:rPr>
              <w:t>v1.0.0</w:t>
            </w:r>
          </w:p>
        </w:tc>
        <w:tc>
          <w:p w14:paraId="6BBEFC83">
            <w:pPr>
              <w:jc w:val="left"/>
            </w:pPr>
            <w:r>
              <w:t>语义化版本号，清晰表达版本迭代关系</w:t>
            </w:r>
          </w:p>
        </w:tc>
      </w:tr>
      <w:tr w14:paraId="0328A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0" w:type="dxa"/>
            <w:bottom w:w="80" w:type="dxa"/>
            <w:right w:w="120" w:type="dxa"/>
          </w:tblCellMar>
        </w:tblPrEx>
        <w:tc>
          <w:p w14:paraId="115536F9">
            <w:pPr>
              <w:jc w:val="left"/>
            </w:pPr>
            <w:r>
              <w:t>完整目录名</w:t>
            </w:r>
          </w:p>
        </w:tc>
        <w:tc>
          <w:p w14:paraId="2086A8AE">
            <w:pPr>
              <w:jc w:val="left"/>
            </w:pPr>
            <w:r>
              <w:rPr>
                <w:rFonts w:ascii="Courier New" w:hAnsi="Courier New" w:eastAsia="Courier New" w:cs="Courier New"/>
                <w:shd w:val="clear" w:color="auto" w:fill="F1F5F9"/>
              </w:rPr>
              <w:t>{模型id}_{模型名称}_{版本号}</w:t>
            </w:r>
          </w:p>
        </w:tc>
        <w:tc>
          <w:p w14:paraId="6BDF8F90">
            <w:pPr>
              <w:jc w:val="left"/>
            </w:pPr>
            <w:r>
              <w:rPr>
                <w:rFonts w:ascii="Courier New" w:hAnsi="Courier New" w:eastAsia="Courier New" w:cs="Courier New"/>
                <w:shd w:val="clear" w:color="auto" w:fill="F1F5F9"/>
              </w:rPr>
              <w:t>1001_yolov8_v1.0.0</w:t>
            </w:r>
          </w:p>
        </w:tc>
        <w:tc>
          <w:p w14:paraId="26D14DD0">
            <w:pPr>
              <w:jc w:val="left"/>
            </w:pPr>
            <w:r>
              <w:t>复合键命名，保证唯一性与可读性</w:t>
            </w:r>
          </w:p>
        </w:tc>
      </w:tr>
    </w:tbl>
    <w:p w14:paraId="3BAA4463">
      <w:pPr>
        <w:spacing w:before="240"/>
      </w:pPr>
      <w:r>
        <w:t xml:space="preserve"> </w:t>
      </w:r>
    </w:p>
    <w:p w14:paraId="097C4FE4">
      <w:pPr>
        <w:pStyle w:val="4"/>
        <w:spacing w:after="200"/>
        <w:jc w:val="left"/>
      </w:pPr>
      <w:r>
        <w:t>3.4 索引机制（后端自动完成，前端无感）</w:t>
      </w:r>
    </w:p>
    <w:p w14:paraId="43EF429A">
      <w:pPr>
        <w:spacing w:after="120"/>
        <w:jc w:val="left"/>
      </w:pPr>
      <w:r>
        <w:t>通过复合键拼接方式建立软链接索引，实现多维度快速定位与访问。</w:t>
      </w:r>
    </w:p>
    <w:p w14:paraId="7C19850F">
      <w:pPr>
        <w:spacing w:after="200"/>
      </w:pPr>
      <w:r>
        <w:t xml:space="preserve"> </w:t>
      </w:r>
    </w:p>
    <w:p w14:paraId="59CA2146">
      <w:pPr>
        <w:spacing w:after="100"/>
        <w:ind w:left="20"/>
        <w:jc w:val="left"/>
      </w:pPr>
      <w:r>
        <w:t xml:space="preserve">1. </w:t>
      </w:r>
      <w:r>
        <w:rPr>
          <w:b/>
          <w:bCs/>
        </w:rPr>
        <w:t>路径索引</w:t>
      </w:r>
      <w:r>
        <w:t xml:space="preserve">：通过复合键 </w:t>
      </w:r>
      <w:r>
        <w:rPr>
          <w:rFonts w:ascii="Courier New" w:hAnsi="Courier New" w:eastAsia="Courier New" w:cs="Courier New"/>
          <w:shd w:val="clear" w:color="auto" w:fill="F1F5F9"/>
        </w:rPr>
        <w:t>{模型id}_{模型名称}_{版本号}</w:t>
      </w:r>
      <w:r>
        <w:t xml:space="preserve"> 直接定位目录路径，支持精准访问指定版本；</w:t>
      </w:r>
    </w:p>
    <w:p w14:paraId="3906ADD8">
      <w:pPr>
        <w:pStyle w:val="14"/>
        <w:numPr>
          <w:ilvl w:val="1"/>
          <w:numId w:val="1"/>
        </w:numPr>
        <w:spacing w:after="100"/>
        <w:ind w:left="660"/>
        <w:jc w:val="left"/>
      </w:pPr>
      <w:r>
        <w:t>示例：</w:t>
      </w:r>
      <w:r>
        <w:rPr>
          <w:rFonts w:ascii="Courier New" w:hAnsi="Courier New" w:eastAsia="Courier New" w:cs="Courier New"/>
          <w:shd w:val="clear" w:color="auto" w:fill="F1F5F9"/>
        </w:rPr>
        <w:t>models/models-index/1001_yolov8_v1.0.0/</w:t>
      </w:r>
    </w:p>
    <w:p w14:paraId="004F2E86">
      <w:pPr>
        <w:spacing w:after="100"/>
        <w:ind w:left="20"/>
        <w:jc w:val="left"/>
      </w:pPr>
      <w:r>
        <w:t xml:space="preserve">2. </w:t>
      </w:r>
      <w:r>
        <w:rPr>
          <w:b/>
          <w:bCs/>
        </w:rPr>
        <w:t>模型维度索引</w:t>
      </w:r>
      <w:r>
        <w:t>：同一模型的所有版本通过模型id+模型名称前缀聚合，便于批量管理与对比；</w:t>
      </w:r>
    </w:p>
    <w:p w14:paraId="6D7FDB3A">
      <w:pPr>
        <w:pStyle w:val="14"/>
        <w:numPr>
          <w:ilvl w:val="1"/>
          <w:numId w:val="1"/>
        </w:numPr>
        <w:spacing w:after="100"/>
        <w:ind w:left="660"/>
        <w:jc w:val="left"/>
      </w:pPr>
      <w:r>
        <w:t>示例：</w:t>
      </w:r>
      <w:r>
        <w:rPr>
          <w:rFonts w:ascii="Courier New" w:hAnsi="Courier New" w:eastAsia="Courier New" w:cs="Courier New"/>
          <w:shd w:val="clear" w:color="auto" w:fill="F1F5F9"/>
        </w:rPr>
        <w:t>1001_yolov8_v1.0.0</w:t>
      </w:r>
      <w:r>
        <w:t>、</w:t>
      </w:r>
      <w:r>
        <w:rPr>
          <w:rFonts w:ascii="Courier New" w:hAnsi="Courier New" w:eastAsia="Courier New" w:cs="Courier New"/>
          <w:shd w:val="clear" w:color="auto" w:fill="F1F5F9"/>
        </w:rPr>
        <w:t>1001_yolov8_v1.1.0</w:t>
      </w:r>
      <w:r>
        <w:t>、</w:t>
      </w:r>
      <w:r>
        <w:rPr>
          <w:rFonts w:ascii="Courier New" w:hAnsi="Courier New" w:eastAsia="Courier New" w:cs="Courier New"/>
          <w:shd w:val="clear" w:color="auto" w:fill="F1F5F9"/>
        </w:rPr>
        <w:t>1001_yolov8_v1.2.0</w:t>
      </w:r>
    </w:p>
    <w:p w14:paraId="529E038B">
      <w:pPr>
        <w:spacing w:after="100"/>
        <w:ind w:left="20"/>
        <w:jc w:val="left"/>
      </w:pPr>
      <w:r>
        <w:t xml:space="preserve">3. </w:t>
      </w:r>
      <w:r>
        <w:rPr>
          <w:b/>
          <w:bCs/>
        </w:rPr>
        <w:t>元数据索引</w:t>
      </w:r>
      <w:r>
        <w:t>：统一存储所有版本的元数据信息，支持按模型id、模型名称、版本号、模型类型、发布时间、发布人多维度检索；</w:t>
      </w:r>
    </w:p>
    <w:p w14:paraId="5F85752E">
      <w:pPr>
        <w:spacing w:after="100"/>
        <w:ind w:left="20"/>
        <w:jc w:val="left"/>
      </w:pPr>
      <w:r>
        <w:t xml:space="preserve">4. </w:t>
      </w:r>
      <w:r>
        <w:rPr>
          <w:b/>
          <w:bCs/>
        </w:rPr>
        <w:t>Git 历史索引</w:t>
      </w:r>
      <w:r>
        <w:t>：通过 Git 标签（复合键格式）可回溯任意版本的发布上下文与变更记录。</w:t>
      </w:r>
    </w:p>
    <w:p w14:paraId="6A0BA3B7">
      <w:pPr>
        <w:spacing w:after="200"/>
      </w:pPr>
      <w:r>
        <w:t xml:space="preserve"> </w:t>
      </w:r>
    </w:p>
    <w:p w14:paraId="72A40C33">
      <w:pPr>
        <w:spacing w:after="120"/>
        <w:jc w:val="left"/>
      </w:pPr>
      <w:r>
        <w:rPr>
          <w:b/>
          <w:bCs/>
        </w:rPr>
        <w:t>索引机制工作原理：</w:t>
      </w:r>
    </w:p>
    <w:p w14:paraId="2BA7199A">
      <w:pPr>
        <w:spacing w:after="200"/>
      </w:pPr>
      <w:r>
        <w:t xml:space="preserve"> </w:t>
      </w:r>
    </w:p>
    <w:p w14:paraId="4C39517C">
      <w:pPr>
        <w:spacing w:after="160"/>
        <w:jc w:val="center"/>
      </w:pPr>
      <w:r>
        <w:drawing>
          <wp:inline distT="0" distB="0" distL="0" distR="0">
            <wp:extent cx="5943600" cy="828675"/>
            <wp:effectExtent l="0" t="0" r="0" b="0"/>
            <wp:docPr id="1" name="mermaid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ermaid diagram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FA3979">
      <w:pPr>
        <w:spacing w:after="200"/>
      </w:pPr>
      <w:r>
        <w:t xml:space="preserve"> </w:t>
      </w:r>
    </w:p>
    <w:p w14:paraId="17C4E296">
      <w:pPr>
        <w:pStyle w:val="3"/>
        <w:spacing w:after="200"/>
        <w:jc w:val="left"/>
      </w:pPr>
      <w:r>
        <w:t>四、正式版本不可变性保障（满足：正式环境版本不可修改）</w:t>
      </w:r>
    </w:p>
    <w:p w14:paraId="4F5B84BC">
      <w:pPr>
        <w:spacing w:after="120"/>
        <w:jc w:val="left"/>
      </w:pPr>
      <w:r>
        <w:t>从存储、Git、流程三层建立防护机制，确保正式发布的版本绝对不可篡改、不可覆盖。</w:t>
      </w:r>
    </w:p>
    <w:p w14:paraId="4BA2A687">
      <w:pPr>
        <w:spacing w:after="200"/>
      </w:pPr>
      <w:r>
        <w:t xml:space="preserve"> </w:t>
      </w:r>
    </w:p>
    <w:p w14:paraId="69684BDC">
      <w:pPr>
        <w:pStyle w:val="4"/>
        <w:spacing w:after="200"/>
        <w:jc w:val="left"/>
      </w:pPr>
      <w:r>
        <w:t>4.1 存储层：物理权限锁定</w:t>
      </w:r>
    </w:p>
    <w:p w14:paraId="7C8D2822">
      <w:pPr>
        <w:spacing w:after="100"/>
        <w:ind w:left="20"/>
        <w:jc w:val="left"/>
      </w:pPr>
      <w:r>
        <w:t xml:space="preserve">1. </w:t>
      </w:r>
      <w:r>
        <w:rPr>
          <w:b/>
          <w:bCs/>
        </w:rPr>
        <w:t>只读权限设置</w:t>
      </w:r>
      <w:r>
        <w:t>：版本正式发布后，自动将对应模型目录设置为只读权限（</w:t>
      </w:r>
      <w:r>
        <w:rPr>
          <w:rFonts w:ascii="Courier New" w:hAnsi="Courier New" w:eastAsia="Courier New" w:cs="Courier New"/>
          <w:shd w:val="clear" w:color="auto" w:fill="F1F5F9"/>
        </w:rPr>
        <w:t>chmod 555</w:t>
      </w:r>
      <w:r>
        <w:t>），禁止写入、修改、删除操作；</w:t>
      </w:r>
    </w:p>
    <w:p w14:paraId="3AE42DEE">
      <w:pPr>
        <w:spacing w:after="100"/>
        <w:ind w:left="20"/>
        <w:jc w:val="left"/>
      </w:pPr>
      <w:r>
        <w:t xml:space="preserve">2. </w:t>
      </w:r>
      <w:r>
        <w:rPr>
          <w:b/>
          <w:bCs/>
        </w:rPr>
        <w:t>独立归档存储</w:t>
      </w:r>
      <w:r>
        <w:t>：打标签后的版本文件同步至独立的归档存储区，与 Git 工作区物理隔离，工作区操作不影响已归档版本；</w:t>
      </w:r>
    </w:p>
    <w:p w14:paraId="74E189E3">
      <w:pPr>
        <w:spacing w:after="200"/>
      </w:pPr>
      <w:r>
        <w:t xml:space="preserve"> </w:t>
      </w:r>
    </w:p>
    <w:p w14:paraId="7B7F2AA6">
      <w:pPr>
        <w:pStyle w:val="4"/>
        <w:spacing w:after="200"/>
        <w:jc w:val="left"/>
      </w:pPr>
      <w:r>
        <w:t>4.2 Git 层：规则强制约束</w:t>
      </w:r>
    </w:p>
    <w:p w14:paraId="7CB209BA">
      <w:pPr>
        <w:spacing w:after="100"/>
        <w:ind w:left="20"/>
        <w:jc w:val="left"/>
      </w:pPr>
      <w:r>
        <w:t xml:space="preserve">1. </w:t>
      </w:r>
      <w:r>
        <w:rPr>
          <w:b/>
          <w:bCs/>
        </w:rPr>
        <w:t>标签保护规则</w:t>
      </w:r>
      <w:r>
        <w:t>：Git 仓库配置分支与标签保护策略，禁止删除、覆盖已发布的正式标签，仅允许新增标签；</w:t>
      </w:r>
    </w:p>
    <w:p w14:paraId="174606A6">
      <w:pPr>
        <w:spacing w:after="100"/>
        <w:ind w:left="20"/>
        <w:jc w:val="left"/>
      </w:pPr>
      <w:r>
        <w:t xml:space="preserve">2. </w:t>
      </w:r>
      <w:r>
        <w:rPr>
          <w:b/>
          <w:bCs/>
        </w:rPr>
        <w:t>提交锁定</w:t>
      </w:r>
      <w:r>
        <w:t>：正式版本对应的提交哈希不可变更，历史提交设置为保护状态，禁止回退、篡改；</w:t>
      </w:r>
    </w:p>
    <w:p w14:paraId="62396FED">
      <w:pPr>
        <w:spacing w:after="100"/>
        <w:ind w:left="20"/>
        <w:jc w:val="left"/>
      </w:pPr>
      <w:r>
        <w:t xml:space="preserve">3. </w:t>
      </w:r>
      <w:r>
        <w:rPr>
          <w:b/>
          <w:bCs/>
        </w:rPr>
        <w:t>操作审计</w:t>
      </w:r>
      <w:r>
        <w:t>：所有 Git 操作留痕，版本发布、标签创建均有审计日志可追溯。</w:t>
      </w:r>
    </w:p>
    <w:p w14:paraId="1C17E56A">
      <w:pPr>
        <w:spacing w:after="200"/>
      </w:pPr>
      <w:r>
        <w:t xml:space="preserve"> </w:t>
      </w:r>
    </w:p>
    <w:p w14:paraId="008293B2">
      <w:pPr>
        <w:pStyle w:val="4"/>
        <w:spacing w:after="200"/>
        <w:jc w:val="left"/>
      </w:pPr>
      <w:r>
        <w:t>4.3 流程层：操作入口拦截</w:t>
      </w:r>
    </w:p>
    <w:p w14:paraId="62D3E627">
      <w:pPr>
        <w:spacing w:after="100"/>
        <w:ind w:left="20"/>
        <w:jc w:val="left"/>
      </w:pPr>
      <w:r>
        <w:t xml:space="preserve">1. </w:t>
      </w:r>
      <w:r>
        <w:rPr>
          <w:b/>
          <w:bCs/>
        </w:rPr>
        <w:t>发布后关闭编辑</w:t>
      </w:r>
      <w:r>
        <w:t>：正式版本发布后，平台界面关闭编辑、修改、删除入口，仅保留查看、下载权限；</w:t>
      </w:r>
    </w:p>
    <w:p w14:paraId="1A032DD4">
      <w:pPr>
        <w:spacing w:after="100"/>
        <w:ind w:left="20"/>
        <w:jc w:val="left"/>
      </w:pPr>
      <w:r>
        <w:t xml:space="preserve">2. </w:t>
      </w:r>
      <w:r>
        <w:rPr>
          <w:b/>
          <w:bCs/>
        </w:rPr>
        <w:t>修改强制走新版本</w:t>
      </w:r>
      <w:r>
        <w:t>：任何模型调整、参数优化必须通过发布新版本的方式实现，不允许在原版本上覆盖更新；</w:t>
      </w:r>
    </w:p>
    <w:p w14:paraId="229BDCF6">
      <w:pPr>
        <w:spacing w:after="100"/>
        <w:ind w:left="20"/>
        <w:jc w:val="left"/>
      </w:pPr>
      <w:r>
        <w:t xml:space="preserve">3. </w:t>
      </w:r>
      <w:r>
        <w:rPr>
          <w:b/>
          <w:bCs/>
        </w:rPr>
        <w:t>发布审批校验</w:t>
      </w:r>
      <w:r>
        <w:t>：正式环境版本发布增加审批节点，校验版本合规性，防止误发布与违规修改。</w:t>
      </w:r>
    </w:p>
    <w:p w14:paraId="1BAF4BBE">
      <w:pPr>
        <w:spacing w:after="200"/>
      </w:pPr>
      <w:r>
        <w:t xml:space="preserve"> </w:t>
      </w:r>
    </w:p>
    <w:p w14:paraId="4B42952B">
      <w:pPr>
        <w:pStyle w:val="3"/>
        <w:spacing w:after="200"/>
        <w:jc w:val="left"/>
      </w:pPr>
      <w:r>
        <w:t>五、易用性优化设计（满足：易操作、可读性强）</w:t>
      </w:r>
    </w:p>
    <w:p w14:paraId="51178846">
      <w:pPr>
        <w:pStyle w:val="4"/>
        <w:spacing w:after="200"/>
        <w:jc w:val="left"/>
      </w:pPr>
      <w:r>
        <w:t>5.1 可视化一键操作流程</w:t>
      </w:r>
    </w:p>
    <w:p w14:paraId="7E008146">
      <w:pPr>
        <w:pStyle w:val="5"/>
        <w:spacing w:after="200"/>
        <w:jc w:val="left"/>
      </w:pPr>
      <w:r>
        <w:t>（1）模型同步操作（训练→仓库）</w:t>
      </w:r>
    </w:p>
    <w:p w14:paraId="593AE30E">
      <w:pPr>
        <w:pStyle w:val="14"/>
        <w:numPr>
          <w:ilvl w:val="0"/>
          <w:numId w:val="1"/>
        </w:numPr>
        <w:spacing w:after="100"/>
        <w:ind w:left="240"/>
        <w:jc w:val="left"/>
      </w:pPr>
      <w:r>
        <w:t>训练任务完成后，模型自动存入训练产物暂存区，平台展示「同步至模型仓库」按钮；</w:t>
      </w:r>
    </w:p>
    <w:p w14:paraId="0D9E0716">
      <w:pPr>
        <w:pStyle w:val="14"/>
        <w:numPr>
          <w:ilvl w:val="0"/>
          <w:numId w:val="1"/>
        </w:numPr>
        <w:spacing w:after="100"/>
        <w:ind w:left="240"/>
        <w:jc w:val="left"/>
      </w:pPr>
      <w:r>
        <w:t>用户点击按钮后，选择待同步的训练模型文件夹，填写简要版本备注；</w:t>
      </w:r>
    </w:p>
    <w:p w14:paraId="75FB1D18">
      <w:pPr>
        <w:pStyle w:val="14"/>
        <w:numPr>
          <w:ilvl w:val="0"/>
          <w:numId w:val="1"/>
        </w:numPr>
        <w:spacing w:after="100"/>
        <w:ind w:left="240"/>
        <w:jc w:val="left"/>
      </w:pPr>
      <w:r>
        <w:t>系统自动过滤训练日志、临时文件，将纯净成品模型拷贝至 Git 仓库本地工作区，完成文件同步，全程无命令行操作。</w:t>
      </w:r>
    </w:p>
    <w:p w14:paraId="25B5CC85">
      <w:pPr>
        <w:spacing w:after="200"/>
      </w:pPr>
      <w:r>
        <w:t xml:space="preserve"> </w:t>
      </w:r>
    </w:p>
    <w:p w14:paraId="2C44D74F">
      <w:pPr>
        <w:pStyle w:val="5"/>
        <w:spacing w:after="200"/>
        <w:jc w:val="left"/>
      </w:pPr>
      <w:r>
        <w:t>（2）版本发布操作（工作区→正式版本）</w:t>
      </w:r>
    </w:p>
    <w:p w14:paraId="5B01F096">
      <w:pPr>
        <w:pStyle w:val="14"/>
        <w:numPr>
          <w:ilvl w:val="0"/>
          <w:numId w:val="1"/>
        </w:numPr>
        <w:spacing w:after="100"/>
        <w:ind w:left="240"/>
        <w:jc w:val="left"/>
      </w:pPr>
      <w:r>
        <w:t>同步完成后，向导式引导用户确认版本号、填写版本说明、校验 README 文档；</w:t>
      </w:r>
    </w:p>
    <w:p w14:paraId="3F83E42D">
      <w:pPr>
        <w:pStyle w:val="14"/>
        <w:numPr>
          <w:ilvl w:val="0"/>
          <w:numId w:val="1"/>
        </w:numPr>
        <w:spacing w:after="100"/>
        <w:ind w:left="240"/>
        <w:jc w:val="left"/>
      </w:pPr>
      <w:r>
        <w:t>点击「发布正式版本」，系统自动执行：提交 Git 变更、创建对应标签、设置目录只读、更新索引软链接、归档备份；</w:t>
      </w:r>
    </w:p>
    <w:p w14:paraId="524DB3CC">
      <w:pPr>
        <w:pStyle w:val="14"/>
        <w:numPr>
          <w:ilvl w:val="0"/>
          <w:numId w:val="1"/>
        </w:numPr>
        <w:spacing w:after="100"/>
        <w:ind w:left="240"/>
        <w:jc w:val="left"/>
      </w:pPr>
      <w:r>
        <w:t>操作完成后返回发布结果，展示版本访问路径与状态。</w:t>
      </w:r>
    </w:p>
    <w:p w14:paraId="24F5C479">
      <w:pPr>
        <w:spacing w:after="200"/>
      </w:pPr>
      <w:r>
        <w:t xml:space="preserve"> </w:t>
      </w:r>
    </w:p>
    <w:p w14:paraId="5C148329">
      <w:pPr>
        <w:pStyle w:val="4"/>
        <w:spacing w:after="200"/>
        <w:jc w:val="left"/>
      </w:pPr>
      <w:r>
        <w:t>5.2 可读性提升设计</w:t>
      </w:r>
    </w:p>
    <w:p w14:paraId="64B932F3">
      <w:pPr>
        <w:spacing w:after="100"/>
        <w:ind w:left="20"/>
        <w:jc w:val="left"/>
      </w:pPr>
      <w:r>
        <w:t xml:space="preserve">1. </w:t>
      </w:r>
      <w:r>
        <w:rPr>
          <w:b/>
          <w:bCs/>
        </w:rPr>
        <w:t>标准化目录结构</w:t>
      </w:r>
      <w:r>
        <w:t>：所有版本目录结构完全一致，文件命名统一规范，降低不同模型、不同版本的理解成本；</w:t>
      </w:r>
    </w:p>
    <w:p w14:paraId="45A510C8">
      <w:pPr>
        <w:spacing w:after="100"/>
        <w:ind w:left="20"/>
        <w:jc w:val="left"/>
      </w:pPr>
      <w:r>
        <w:t xml:space="preserve">2. </w:t>
      </w:r>
      <w:r>
        <w:rPr>
          <w:b/>
          <w:bCs/>
        </w:rPr>
        <w:t>可视化版本详情页</w:t>
      </w:r>
      <w:r>
        <w:t>：平台页面展示版本核心信息，包含模型介绍、性能指标、变更记录、文件列表、发布信息，关键信息一目了然；</w:t>
      </w:r>
    </w:p>
    <w:p w14:paraId="5FC23091">
      <w:pPr>
        <w:spacing w:after="100"/>
        <w:ind w:left="20"/>
        <w:jc w:val="left"/>
      </w:pPr>
      <w:r>
        <w:t xml:space="preserve">3. </w:t>
      </w:r>
      <w:r>
        <w:rPr>
          <w:b/>
          <w:bCs/>
        </w:rPr>
        <w:t>快捷访问入口</w:t>
      </w:r>
      <w:r>
        <w:t>：下拉框选择指定版本模型进行跳转下载等操作。</w:t>
      </w:r>
    </w:p>
    <w:p w14:paraId="6F2FB4A3">
      <w:pPr>
        <w:spacing w:after="200"/>
      </w:pPr>
      <w:r>
        <w:t xml:space="preserve"> </w:t>
      </w:r>
    </w:p>
    <w:p w14:paraId="17296FA8">
      <w:pPr>
        <w:pStyle w:val="3"/>
        <w:spacing w:after="200"/>
        <w:jc w:val="left"/>
      </w:pPr>
      <w:r>
        <w:t>六、版本状态机设计（满足：一套状态方便系统对接）</w:t>
      </w:r>
    </w:p>
    <w:p w14:paraId="0B8CEBB4">
      <w:pPr>
        <w:spacing w:after="120"/>
        <w:jc w:val="left"/>
      </w:pPr>
      <w:r>
        <w:t>定义模型版本全生命周期状态，统一状态标识与流转规则，方便上下游训练平台、推理平台、业务系统对接管控。</w:t>
      </w:r>
    </w:p>
    <w:p w14:paraId="28DED5CE">
      <w:pPr>
        <w:spacing w:after="200"/>
      </w:pPr>
      <w:r>
        <w:t xml:space="preserve"> </w:t>
      </w:r>
    </w:p>
    <w:p w14:paraId="7FD66D97">
      <w:pPr>
        <w:pStyle w:val="4"/>
        <w:spacing w:after="200"/>
        <w:jc w:val="left"/>
      </w:pPr>
      <w:r>
        <w:t>6.1 全生命周期状态定义</w:t>
      </w:r>
    </w:p>
    <w:p w14:paraId="625E575A">
      <w:pPr>
        <w:spacing w:after="240"/>
      </w:pPr>
      <w:r>
        <w:t xml:space="preserve"> </w:t>
      </w:r>
    </w:p>
    <w:tbl>
      <w:tblPr>
        <w:tblStyle w:val="10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80" w:type="dxa"/>
          <w:left w:w="120" w:type="dxa"/>
          <w:bottom w:w="80" w:type="dxa"/>
          <w:right w:w="120" w:type="dxa"/>
        </w:tblCellMar>
      </w:tblPr>
      <w:tblGrid>
        <w:gridCol w:w="1786"/>
        <w:gridCol w:w="1339"/>
        <w:gridCol w:w="4019"/>
        <w:gridCol w:w="2121"/>
      </w:tblGrid>
      <w:tr w14:paraId="68211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p w14:paraId="033BBFDF">
            <w:pPr>
              <w:jc w:val="left"/>
            </w:pPr>
            <w:r>
              <w:rPr>
                <w:b/>
                <w:bCs/>
              </w:rPr>
              <w:t>状态标识</w:t>
            </w:r>
          </w:p>
        </w:tc>
        <w:tc>
          <w:p w14:paraId="460092D6">
            <w:pPr>
              <w:jc w:val="left"/>
            </w:pPr>
            <w:r>
              <w:rPr>
                <w:b/>
                <w:bCs/>
              </w:rPr>
              <w:t>状态名称</w:t>
            </w:r>
          </w:p>
        </w:tc>
        <w:tc>
          <w:p w14:paraId="27AF3AB0">
            <w:pPr>
              <w:jc w:val="left"/>
            </w:pPr>
            <w:r>
              <w:rPr>
                <w:b/>
                <w:bCs/>
              </w:rPr>
              <w:t>状态说明</w:t>
            </w:r>
          </w:p>
        </w:tc>
        <w:tc>
          <w:p w14:paraId="3E430F01">
            <w:pPr>
              <w:jc w:val="left"/>
            </w:pPr>
            <w:r>
              <w:rPr>
                <w:b/>
                <w:bCs/>
              </w:rPr>
              <w:t>可执行操作</w:t>
            </w:r>
          </w:p>
        </w:tc>
      </w:tr>
      <w:tr w14:paraId="1B13C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0" w:type="dxa"/>
            <w:bottom w:w="80" w:type="dxa"/>
            <w:right w:w="120" w:type="dxa"/>
          </w:tblCellMar>
        </w:tblPrEx>
        <w:tc>
          <w:p w14:paraId="39F0BEF6">
            <w:pPr>
              <w:jc w:val="left"/>
            </w:pPr>
            <w:r>
              <w:t>training</w:t>
            </w:r>
          </w:p>
        </w:tc>
        <w:tc>
          <w:p w14:paraId="40C5867D">
            <w:pPr>
              <w:jc w:val="left"/>
            </w:pPr>
            <w:r>
              <w:t>训练中</w:t>
            </w:r>
          </w:p>
        </w:tc>
        <w:tc>
          <w:p w14:paraId="327A8A27">
            <w:pPr>
              <w:jc w:val="left"/>
            </w:pPr>
            <w:r>
              <w:t>模型正在训练平台进行训练</w:t>
            </w:r>
          </w:p>
        </w:tc>
        <w:tc>
          <w:p w14:paraId="3B6DADDC">
            <w:pPr>
              <w:jc w:val="left"/>
            </w:pPr>
            <w:r>
              <w:t>查看训练进度、终止训练</w:t>
            </w:r>
          </w:p>
        </w:tc>
      </w:tr>
      <w:tr w14:paraId="0A1C1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0" w:type="dxa"/>
            <w:bottom w:w="80" w:type="dxa"/>
            <w:right w:w="120" w:type="dxa"/>
          </w:tblCellMar>
        </w:tblPrEx>
        <w:tc>
          <w:p w14:paraId="4A5E7CF8">
            <w:pPr>
              <w:jc w:val="left"/>
            </w:pPr>
            <w:r>
              <w:t>pending_release</w:t>
            </w:r>
          </w:p>
        </w:tc>
        <w:tc>
          <w:p w14:paraId="26B8B9C2">
            <w:pPr>
              <w:jc w:val="left"/>
            </w:pPr>
            <w:r>
              <w:t>待发布</w:t>
            </w:r>
          </w:p>
        </w:tc>
        <w:tc>
          <w:p w14:paraId="00EEB763">
            <w:pPr>
              <w:jc w:val="left"/>
            </w:pPr>
            <w:r>
              <w:t>模型已同步至工作区，未打标签发布为正式版本（此状态用来提醒测试人员该版本可发版）</w:t>
            </w:r>
          </w:p>
        </w:tc>
        <w:tc>
          <w:p w14:paraId="253F3C9B">
            <w:pPr>
              <w:jc w:val="left"/>
            </w:pPr>
            <w:r>
              <w:t>发布版本、编辑、删除</w:t>
            </w:r>
          </w:p>
        </w:tc>
      </w:tr>
      <w:tr w14:paraId="0D657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0" w:type="dxa"/>
            <w:bottom w:w="80" w:type="dxa"/>
            <w:right w:w="120" w:type="dxa"/>
          </w:tblCellMar>
        </w:tblPrEx>
        <w:tc>
          <w:p w14:paraId="4015FD33">
            <w:pPr>
              <w:jc w:val="left"/>
            </w:pPr>
            <w:r>
              <w:t>releasing</w:t>
            </w:r>
          </w:p>
        </w:tc>
        <w:tc>
          <w:p w14:paraId="580E3CC7">
            <w:pPr>
              <w:jc w:val="left"/>
            </w:pPr>
            <w:r>
              <w:t>发布中</w:t>
            </w:r>
          </w:p>
        </w:tc>
        <w:tc>
          <w:p w14:paraId="2EA2C4B2">
            <w:pPr>
              <w:jc w:val="left"/>
            </w:pPr>
            <w:r>
              <w:t>正在执行打标签、归档、权限设置等发布操作（程序正在发版中）</w:t>
            </w:r>
          </w:p>
        </w:tc>
        <w:tc>
          <w:p w14:paraId="3C25CE7C">
            <w:pPr>
              <w:jc w:val="left"/>
            </w:pPr>
            <w:r>
              <w:t>无</w:t>
            </w:r>
          </w:p>
        </w:tc>
      </w:tr>
      <w:tr w14:paraId="308F7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0" w:type="dxa"/>
            <w:bottom w:w="80" w:type="dxa"/>
            <w:right w:w="120" w:type="dxa"/>
          </w:tblCellMar>
        </w:tblPrEx>
        <w:tc>
          <w:p w14:paraId="658FA449">
            <w:pPr>
              <w:jc w:val="left"/>
            </w:pPr>
            <w:r>
              <w:t>released</w:t>
            </w:r>
          </w:p>
        </w:tc>
        <w:tc>
          <w:p w14:paraId="32A0A889">
            <w:pPr>
              <w:jc w:val="left"/>
            </w:pPr>
            <w:r>
              <w:t>已发布</w:t>
            </w:r>
          </w:p>
        </w:tc>
        <w:tc>
          <w:p w14:paraId="04088AAC">
            <w:pPr>
              <w:jc w:val="left"/>
            </w:pPr>
            <w:r>
              <w:t>正式生效版本，只读不可改，可用于生产环境</w:t>
            </w:r>
          </w:p>
        </w:tc>
        <w:tc>
          <w:p w14:paraId="28D5DA03">
            <w:pPr>
              <w:jc w:val="left"/>
            </w:pPr>
            <w:r>
              <w:t>查看、下载、归档</w:t>
            </w:r>
          </w:p>
        </w:tc>
      </w:tr>
      <w:tr w14:paraId="3EB06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0" w:type="dxa"/>
            <w:bottom w:w="80" w:type="dxa"/>
            <w:right w:w="120" w:type="dxa"/>
          </w:tblCellMar>
        </w:tblPrEx>
        <w:tc>
          <w:p w14:paraId="75E12406">
            <w:pPr>
              <w:jc w:val="left"/>
            </w:pPr>
            <w:r>
              <w:t>archived</w:t>
            </w:r>
          </w:p>
        </w:tc>
        <w:tc>
          <w:p w14:paraId="598B1C9E">
            <w:pPr>
              <w:jc w:val="left"/>
            </w:pPr>
            <w:r>
              <w:t>已归档</w:t>
            </w:r>
          </w:p>
        </w:tc>
        <w:tc>
          <w:p w14:paraId="6319B1FF">
            <w:pPr>
              <w:jc w:val="left"/>
            </w:pPr>
            <w:r>
              <w:t>历史版本，归档存储，不推荐生产使用</w:t>
            </w:r>
          </w:p>
        </w:tc>
        <w:tc>
          <w:p w14:paraId="37CF2985">
            <w:pPr>
              <w:jc w:val="left"/>
            </w:pPr>
            <w:r>
              <w:t>查看、下载、标记废弃</w:t>
            </w:r>
          </w:p>
        </w:tc>
      </w:tr>
      <w:tr w14:paraId="3E9DD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0" w:type="dxa"/>
            <w:bottom w:w="80" w:type="dxa"/>
            <w:right w:w="120" w:type="dxa"/>
          </w:tblCellMar>
        </w:tblPrEx>
        <w:tc>
          <w:p w14:paraId="00F09DAE">
            <w:pPr>
              <w:jc w:val="left"/>
            </w:pPr>
            <w:r>
              <w:t>deprecated</w:t>
            </w:r>
          </w:p>
        </w:tc>
        <w:tc>
          <w:p w14:paraId="66EDEFAF">
            <w:pPr>
              <w:jc w:val="left"/>
            </w:pPr>
            <w:r>
              <w:t>已废弃</w:t>
            </w:r>
          </w:p>
        </w:tc>
        <w:tc>
          <w:p w14:paraId="659F2A07">
            <w:pPr>
              <w:jc w:val="left"/>
            </w:pPr>
            <w:r>
              <w:t>存在缺陷或已过期，禁止生产环境使用</w:t>
            </w:r>
          </w:p>
        </w:tc>
        <w:tc>
          <w:p w14:paraId="353AE2E7">
            <w:pPr>
              <w:jc w:val="left"/>
            </w:pPr>
            <w:r>
              <w:t>查看、下线</w:t>
            </w:r>
          </w:p>
        </w:tc>
      </w:tr>
    </w:tbl>
    <w:p w14:paraId="49971534">
      <w:pPr>
        <w:spacing w:before="240"/>
      </w:pPr>
      <w:r>
        <w:t xml:space="preserve"> </w:t>
      </w:r>
    </w:p>
    <w:p w14:paraId="6F89BB74">
      <w:pPr>
        <w:pStyle w:val="4"/>
        <w:spacing w:after="200"/>
        <w:jc w:val="left"/>
      </w:pPr>
      <w:r>
        <w:t>6.2 状态流转规则</w:t>
      </w:r>
    </w:p>
    <w:p w14:paraId="3F5EFB91">
      <w:pPr>
        <w:spacing w:after="100"/>
        <w:ind w:left="20"/>
        <w:jc w:val="left"/>
      </w:pPr>
      <w:r>
        <w:t xml:space="preserve">1. </w:t>
      </w:r>
      <w:r>
        <w:rPr>
          <w:b/>
          <w:bCs/>
        </w:rPr>
        <w:t>正常主流程</w:t>
      </w:r>
      <w:r>
        <w:t>：训练中 → 待发布 → 发布中 → 已发布</w:t>
      </w:r>
    </w:p>
    <w:p w14:paraId="3216AA31">
      <w:pPr>
        <w:spacing w:after="100"/>
        <w:ind w:left="20"/>
        <w:jc w:val="left"/>
      </w:pPr>
      <w:r>
        <w:t xml:space="preserve">2. </w:t>
      </w:r>
      <w:r>
        <w:rPr>
          <w:b/>
          <w:bCs/>
        </w:rPr>
        <w:t>异常重试流程</w:t>
      </w:r>
      <w:r>
        <w:t>：同步中 → 同步失败 → 待同步（重试同步）</w:t>
      </w:r>
    </w:p>
    <w:p w14:paraId="158675A4">
      <w:pPr>
        <w:spacing w:after="100"/>
        <w:ind w:left="20"/>
        <w:jc w:val="left"/>
      </w:pPr>
      <w:r>
        <w:t xml:space="preserve">3. </w:t>
      </w:r>
      <w:r>
        <w:rPr>
          <w:b/>
          <w:bCs/>
        </w:rPr>
        <w:t>生命周期收尾</w:t>
      </w:r>
      <w:r>
        <w:t>：已发布 → 已归档 → 已废弃</w:t>
      </w:r>
    </w:p>
    <w:p w14:paraId="270BEB34">
      <w:pPr>
        <w:spacing w:after="200"/>
      </w:pPr>
      <w:r>
        <w:t xml:space="preserve"> </w:t>
      </w:r>
    </w:p>
    <w:p w14:paraId="556D7437">
      <w:pPr>
        <w:pStyle w:val="4"/>
        <w:spacing w:after="200"/>
        <w:jc w:val="left"/>
      </w:pPr>
      <w:r>
        <w:t>6.3 对接适配设计</w:t>
      </w:r>
    </w:p>
    <w:p w14:paraId="4A609BB4">
      <w:pPr>
        <w:spacing w:after="100"/>
        <w:ind w:left="20"/>
        <w:jc w:val="left"/>
      </w:pPr>
      <w:r>
        <w:t xml:space="preserve">1. </w:t>
      </w:r>
      <w:r>
        <w:rPr>
          <w:b/>
          <w:bCs/>
        </w:rPr>
        <w:t>统一字段</w:t>
      </w:r>
      <w:r>
        <w:t xml:space="preserve">：所有版本查询、操作接口均返回 </w:t>
      </w:r>
      <w:r>
        <w:rPr>
          <w:rFonts w:ascii="Courier New" w:hAnsi="Courier New" w:eastAsia="Courier New" w:cs="Courier New"/>
          <w:shd w:val="clear" w:color="auto" w:fill="F1F5F9"/>
        </w:rPr>
        <w:t>status</w:t>
      </w:r>
      <w:r>
        <w:t xml:space="preserve"> 字段，与状态标识一一对应，无自定义状态；</w:t>
      </w:r>
    </w:p>
    <w:p w14:paraId="22242A69">
      <w:pPr>
        <w:spacing w:after="100"/>
        <w:ind w:left="20"/>
        <w:jc w:val="left"/>
      </w:pPr>
      <w:r>
        <w:t xml:space="preserve">2. </w:t>
      </w:r>
      <w:r>
        <w:rPr>
          <w:b/>
          <w:bCs/>
        </w:rPr>
        <w:t>事件驱动</w:t>
      </w:r>
      <w:r>
        <w:t>：状态变更时触发对应事件（如版本发布事件、版本废弃事件），支持回调通知上下游系统；</w:t>
      </w:r>
    </w:p>
    <w:p w14:paraId="5083E0E3">
      <w:pPr>
        <w:spacing w:after="100"/>
        <w:ind w:left="20"/>
        <w:jc w:val="left"/>
      </w:pPr>
      <w:r>
        <w:t xml:space="preserve">3. </w:t>
      </w:r>
      <w:r>
        <w:rPr>
          <w:b/>
          <w:bCs/>
        </w:rPr>
        <w:t>筛选能力</w:t>
      </w:r>
      <w:r>
        <w:t>：支持按状态筛选版本列表，方便对接系统按状态拉取可用版本。</w:t>
      </w:r>
    </w:p>
    <w:p w14:paraId="44339CD6">
      <w:pPr>
        <w:spacing w:after="200"/>
      </w:pPr>
      <w:r>
        <w:t xml:space="preserve"> </w:t>
      </w:r>
    </w:p>
    <w:p w14:paraId="480E05D3">
      <w:pPr>
        <w:pStyle w:val="3"/>
        <w:spacing w:after="200"/>
        <w:jc w:val="left"/>
      </w:pPr>
      <w:r>
        <w:t>七、README 文档规范</w:t>
      </w:r>
    </w:p>
    <w:p w14:paraId="26AF0A15">
      <w:pPr>
        <w:spacing w:after="120"/>
        <w:jc w:val="left"/>
      </w:pPr>
      <w:r>
        <w:t>为每个版本配套标准化 README 文档，统一信息结构，提升可读性与可维护性，供用户参考填写。</w:t>
      </w:r>
    </w:p>
    <w:p w14:paraId="0086BF18">
      <w:pPr>
        <w:spacing w:after="200"/>
      </w:pPr>
      <w:r>
        <w:t xml:space="preserve"> </w:t>
      </w:r>
    </w:p>
    <w:p w14:paraId="4584BC41">
      <w:pPr>
        <w:pStyle w:val="4"/>
        <w:spacing w:after="200"/>
        <w:jc w:val="left"/>
      </w:pPr>
      <w:r>
        <w:t>7.1 标准文档模板</w:t>
      </w:r>
    </w:p>
    <w:p w14:paraId="2225B923">
      <w:pPr>
        <w:shd w:val="clear" w:color="auto" w:fill="000000"/>
        <w:spacing w:before="160" w:after="200"/>
        <w:ind w:left="240" w:right="240"/>
        <w:jc w:val="left"/>
      </w:pP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 通用模型 README 模板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&gt; 本模板参考 ModelScope/Hugging Face 主流模型卡片结构设计，适用于各类 AI 模型的文档编写。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---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 模板使用说明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将 `{{占位符}}`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不适用的章节可直接删除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建议使用 Markdown 格式，支持表格、代码块、图片等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---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 {{模型名称}}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{{模型一句话简介，例如：A state-of-the-art {{任务类型}} model with {{参数量}} parameters.}}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&lt;div align="center"&gt;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&lt;img src="{{模型架构图或logo}}" alt="{{模型名称}}" width="600"/&gt;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&lt;/div&gt;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---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 1. 模型简介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{{模型名称}} 是由 {{机构/团队名称}} 开发的 {{任务类型}} 模型。该模型采用 {{架构类型，如 Mixture-of-Experts (MoE)}} 架构，拥有 {{总参数量}} 总参数和 {{激活参数量}} 激活参数，在 {{基准测试名称}} 等评测中取得了 {{成绩描述}}。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### 核心特性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**{{特性1}}**: {{特性描述}}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**{{特性2}}**: {{特性描述}}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**{{特性3}}**: {{特性描述}}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**{{特性4}}**: {{特性描述}}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### 模型变体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变体名称 | 描述 | 适用场景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|---------|------|---------|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`{{模型变体1}}` | {{描述}} | {{场景}}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`{{模型变体2}}` | {{描述}} | {{场景}}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---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 2. 模型架构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### 2.1 架构概览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配置项 | 值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|-------|-----|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架构类型 | {{如 Mixture-of-Experts (MoE)}}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总参数量 | {{如 1T}}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激活参数量 | {{如 32B}}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网络层数 | {{如 61}}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注意力隐藏层维度 | {{如 7168}}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MoE 隐藏层维度 (每专家) | {{如 2048}}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注意力头数 | {{如 64}}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专家数量 | {{如 384}}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每 Token 选择专家数 | {{如 8}}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共享专家数 | {{如 1}}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词表大小 | {{如 160K}}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上下文长度 | {{如 256K tokens}}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注意力机制 | {{如 MLA}}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激活函数 | {{如 SwiGLU}}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### 2.2 多模态支持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**输入模态**: {{如 文本、图像、视频}}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**输出模态**: {{如 文本}}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**视觉编码器**: {{如 MoonViT (400M 参数)}}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### 2.3 量化支持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支持 {{如 INT4}} 原生量化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支持 {{如 FP8}} 格式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---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 3. 评估结果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### 3.1 {{任务类型}} 任务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基准测试 | 指标 | {{当前模型}} | {{对比模型A}} | {{对比模型B}} | {{对比模型C}}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|---------|------|-------------|-------------|-------------|-------------|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{{Benchmark1}} | {{指标}} | **{{分数}}** | {{分数}} | {{分数}} | {{分数}}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{{Benchmark2}} | {{指标}} | **{{分数}}** | {{分数}} | {{分数}} | {{分数}}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{{Benchmark3}} | {{指标}} | **{{分数}}** | {{分数}} | {{分数}} | {{分数}}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### 3.2 工具使用任务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基准测试 | 指标 | {{当前模型}} | {{对比模型A}} | {{对比模型B}}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|---------|------|-------------|-------------|-------------|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{{Benchmark1}} | {{指标}} | **{{分数}}** | {{分数}} | {{分数}}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{{Benchmark2}} | {{指标}} | **{{分数}}** | {{分数}} | {{分数}}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### 3.3 数学与 STEM 任务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基准测试 | 指标 | {{当前模型}} | {{对比模型A}} | {{对比模型B}}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|---------|------|-------------|-------------|-------------|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{{Benchmark1}} | {{指标}} | **{{分数}}** | {{分数}} | {{分数}}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{{Benchmark2}} | {{指标}} | **{{分数}}** | {{分数}} | {{分数}}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### 3.4 通用任务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基准测试 | 指标 | {{当前模型}} | {{对比模型A}} | {{对比模型B}}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|---------|------|-------------|-------------|-------------|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{{Benchmark1}} | {{指标}} | **{{分数}}** | {{分数}} | {{分数}}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{{Benchmark2}} | {{指标}} | **{{分数}}** | {{分数}} | {{分数}}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&gt; **说明**: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&gt; - **加粗** 表示开源模型最优，&lt;u&gt;下划线&lt;/u&gt; 表示全局最优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&gt; - 所有指标均在 {{输出长度限制}} 输出长度下评估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&gt; - 部分指标采用 avg@k 评估以确保稳定性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---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 4. 部署指南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### 4.1 环境要求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**Python**: {{版本要求，如 &gt;= 3.10}}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**PyTorch**: {{版本要求，如 &gt;= 2.0}}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**GPU**: {{最低要求，如 8x A100 80GB}}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**显存**: {{最低要求，如 80GB}}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### 4.2 使用 Transformers 部署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```python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from transformers import AutoModelForCausalLM, AutoTokenizer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model_name = "{{模型HuggingFace路径}}"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tokenizer = AutoTokenizer.from_pretrained(model_name)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model = AutoModelForCausalLM.from_pretrained(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model_name,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torch_dtype="auto",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device_map="auto"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```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### 4.3 使用 vLLM 部署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```bash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pip install vllm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```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```python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from vllm import LLM, SamplingParams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llm = LLM(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model="{{模型HuggingFace路径}}",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tensor_parallel_size={{GPU数量}},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trust_remote_code=True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sampling_params = SamplingParams(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temperature={{温度值}},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top_p={{top_p值}},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max_tokens={{最大输出长度}}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outputs = llm.generate(["{{输入文本}}"], sampling_params)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```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### 4.4 使用 SGLang 部署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```bash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pip install sglang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```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```bash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python -m sglang.launch_server \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--model-path {{模型HuggingFace路径}} \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--tp-size {{GPU数量}} \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--port {{端口号}}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```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### 4.5 使用 KTransformers 部署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{{KTransformers 部署说明}}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### 4.6 推理优化建议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使用 {{推理引擎}} 可获得最佳性能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建议启用 {{优化技术}} 以降低显存占用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对于 {{场景}}，推荐使用 {{量化格式}} 量化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---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 5. 使用示例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### 5.1 基础对话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```python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messages = [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{"role": "system", "content": "{{系统提示词}}"},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{"role": "user", "content": "{{用户输入}}"}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]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text = tokenizer.apply_chat_template(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messages,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tokenize=False,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add_generation_prompt=True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inputs = tokenizer([text], return_tensors="pt").to(model.device)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outputs = model.generate(**inputs, max_new_tokens={{最大生成长度}})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print(tokenizer.decode(outputs[0], skip_special_tokens=True))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```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### 5.2 工具调用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```python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{{工具调用示例代码}}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```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### 5.3 多模态输入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```python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{{多模态输入示例代码}}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```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### 5.4 API 调用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```python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import os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from openai import OpenAI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client = OpenAI(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api_key=os.environ.get("{{API_KEY环境变量}}"),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base_url="{{API基础URL}}"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messages = [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{"role": "system", "content": "{{系统提示词}}"},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{"role": "user", "content": "{{用户输入}}"}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]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completion = client.chat.completions.create(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model="{{模型名称}}",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messages=messages,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temperature={{温度值}},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top_p={{top_p值}},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max_tokens={{最大输出长度}}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print(completion.choices[0].message.content)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```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### 5.5 cURL 调用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```bash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curl {{API基础URL}}/chat/completions \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-H "Content-Type: application/json" \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-H "Authorization: Bearer {{API_KEY}}" \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-d '{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"model": "{{模型名称}}",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"messages": [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{"role": "system", "content": "{{系统提示词}}"},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{"role": "user", "content": "{{用户输入}}"}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],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"temperature": {{温度值}},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"top_p": {{top_p值}},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"max_tokens": {{最大输出长度}}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}'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```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---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 6. 最佳实践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### 6.1 支持的输入格式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{{格式1，如 图片: PNG, JPG, JPEG, WEBP}}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{{格式2，如 视频: MP4, AVI}}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{{格式3，如 文本: UTF-8}}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### 6.2 推荐配置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**图片分辨率**: {{如 不超过 2048x2048}}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**视频长度**: {{如 不超过 60 秒}}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**文本长度**: {{如 不超过 256K tokens}}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### 6.3 注意事项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{{注意事项1}}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{{注意事项2}}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{{注意事项3}}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---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 7. 许可证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本模型权重采用 {{许可证名称}} 许可证。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{{许可证简要说明}}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完整许可证文本请查看 [LICENSE](./LICENSE) 文件。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### 商用说明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{{商用限制或条件说明}}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---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 8. 引用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如果在研究中使用了本模型，请引用：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```bibtex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@article{{引用key}},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title={{模型名称}},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author={{作者列表}},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journal={{期刊/会议}},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year={{年份}},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url={{链接}}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```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---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 9. 第三方声明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{{第三方依赖、数据集、代码等的声明}}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---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 10. 联系我们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**问题反馈**: {{GitHub Issues 链接}}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**技术讨论**: {{Discord/微信群 链接}}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**商务合作**: {{邮箱}}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**官方网站**: {{网站链接}}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---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 附录：模板快速填充示例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&gt; 以下为填充后的示例，帮助理解各章节应填写的内容风格。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---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 Kimi K2.7 Code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Kimi K2.7 Code 是 Moonshot AI 开发的最强编程模型，采用 1T 总参数 / 32B 激活的 MoE 架构，专注于长程软件工程任务的端到端完成能力。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 1. 模型简介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Kimi K2.7 Code 是由 Moonshot AI 开发的编程专属模型。该模型采用 Mixture-of-Experts (MoE) 架构，拥有 1T 总参数和 32B 激活参数，在 Kimi Code Bench v2 上取得了 62.0 的成绩。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### 核心特性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**长程编码能力突破**: 相比 K2.6 在 Kimi Code Bench v2 上提升 21.8%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**增强的 Agent 能力**: 工具调用和推理能力提升 10%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**超长上下文支持**: 256K tokens 上下文窗口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- **减少过度思考**: thinking token 使用量降低约 30%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 2. 模型架构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配置项 | 值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|-------|-----|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架构类型 | Mixture-of-Experts (MoE)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总参数量 | 1T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激活参数量 | 32B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网络层数 | 61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专家数量 | 384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每 Token 选择专家数 | 8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上下文长度 | 256K tokens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 3. 评估结果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基准测试 | Kimi K2.6 | Kimi K2.7-Code | GPT-5.5 | Claude Opus 4.8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|---------|-----------|---------------|---------|----------------|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Kimi Code Bench v2 | 50.9 | **62.0** | 69.0 | 67.4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Program Bench | 48.3 | **53.6** | 69.1 | 63.8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| MCP Mark Verified | 72.8 | **81.1** | 92.9 | 76.4 |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 4. 部署指南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```python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from transformers import AutoModelForCausalLM, AutoTokenizer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model_name = "moonshotai/Kimi-K2.7-Code"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tokenizer = AutoTokenizer.from_pretrained(model_name)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model = AutoModelForCausalLM.from_pretrained(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model_name,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torch_dtype="auto",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device_map="auto"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```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## 5. 许可证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本模型采用 Modified MIT 许可证，允许商用使用，但需遵守特定条件。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</w:p>
    <w:p w14:paraId="5005CF15">
      <w:pPr>
        <w:spacing w:after="200"/>
      </w:pPr>
      <w:r>
        <w:t xml:space="preserve"> </w:t>
      </w:r>
    </w:p>
    <w:p w14:paraId="1E79B05F">
      <w:pPr>
        <w:pStyle w:val="4"/>
        <w:spacing w:after="200"/>
        <w:jc w:val="left"/>
      </w:pPr>
      <w:r>
        <w:t>7.2 规范要求</w:t>
      </w:r>
    </w:p>
    <w:p w14:paraId="28344FB1">
      <w:pPr>
        <w:spacing w:after="100"/>
        <w:ind w:left="20"/>
        <w:jc w:val="left"/>
      </w:pPr>
      <w:r>
        <w:t>1. 必填项不可为空，核心指标必须量化，禁止模糊描述；</w:t>
      </w:r>
    </w:p>
    <w:p w14:paraId="28F2AED2">
      <w:pPr>
        <w:spacing w:after="100"/>
        <w:ind w:left="20"/>
        <w:jc w:val="left"/>
      </w:pPr>
      <w:r>
        <w:t>2. 语言简洁，突出核心信息，避免冗余内容；</w:t>
      </w:r>
    </w:p>
    <w:p w14:paraId="554EC980">
      <w:pPr>
        <w:spacing w:after="100"/>
        <w:ind w:left="20"/>
        <w:jc w:val="left"/>
      </w:pPr>
      <w:r>
        <w:t>3. 随版本同步发布，与版本一一对应，版本变更必须更新 README。</w:t>
      </w:r>
    </w:p>
    <w:p w14:paraId="764DD6DF">
      <w:pPr>
        <w:spacing w:after="200"/>
      </w:pPr>
      <w:r>
        <w:t xml:space="preserve"> </w:t>
      </w:r>
    </w:p>
    <w:p w14:paraId="49E5A4F6">
      <w:pPr>
        <w:pStyle w:val="3"/>
        <w:spacing w:after="200"/>
        <w:jc w:val="left"/>
      </w:pPr>
      <w:r>
        <w:t>八、配套保障机制</w:t>
      </w:r>
    </w:p>
    <w:p w14:paraId="18BB1741">
      <w:pPr>
        <w:pStyle w:val="4"/>
        <w:spacing w:after="200"/>
        <w:jc w:val="left"/>
      </w:pPr>
      <w:r>
        <w:t>8.1 权限管控</w:t>
      </w:r>
    </w:p>
    <w:p w14:paraId="513DF166">
      <w:pPr>
        <w:pStyle w:val="14"/>
        <w:numPr>
          <w:ilvl w:val="0"/>
          <w:numId w:val="1"/>
        </w:numPr>
        <w:spacing w:after="100"/>
        <w:ind w:left="240"/>
        <w:jc w:val="left"/>
      </w:pPr>
      <w:r>
        <w:t>暂存区权限：训练工程师可上传、同步、删除暂存模型；</w:t>
      </w:r>
    </w:p>
    <w:p w14:paraId="0C1A9032">
      <w:pPr>
        <w:pStyle w:val="14"/>
        <w:numPr>
          <w:ilvl w:val="0"/>
          <w:numId w:val="1"/>
        </w:numPr>
        <w:spacing w:after="100"/>
        <w:ind w:left="240"/>
        <w:jc w:val="left"/>
      </w:pPr>
      <w:r>
        <w:t>发布权限：仅模型负责人 / 管理员可执行正式版本发布操作；</w:t>
      </w:r>
    </w:p>
    <w:p w14:paraId="671BA339">
      <w:pPr>
        <w:pStyle w:val="14"/>
        <w:numPr>
          <w:ilvl w:val="0"/>
          <w:numId w:val="1"/>
        </w:numPr>
        <w:spacing w:after="100"/>
        <w:ind w:left="240"/>
        <w:jc w:val="left"/>
      </w:pPr>
      <w:r>
        <w:t>只读权限：普通用户、业务方仅可查看、下载已发布版本，无修改权限。</w:t>
      </w:r>
    </w:p>
    <w:p w14:paraId="10371B76">
      <w:pPr>
        <w:spacing w:after="200"/>
      </w:pPr>
      <w:r>
        <w:t xml:space="preserve"> </w:t>
      </w:r>
    </w:p>
    <w:p w14:paraId="067F689C">
      <w:pPr>
        <w:pStyle w:val="4"/>
        <w:spacing w:after="200"/>
        <w:jc w:val="left"/>
      </w:pPr>
      <w:r>
        <w:t>8.2 数据备份</w:t>
      </w:r>
    </w:p>
    <w:p w14:paraId="5C57548B">
      <w:pPr>
        <w:pStyle w:val="14"/>
        <w:numPr>
          <w:ilvl w:val="0"/>
          <w:numId w:val="1"/>
        </w:numPr>
        <w:spacing w:after="100"/>
        <w:ind w:left="240"/>
        <w:jc w:val="left"/>
      </w:pPr>
      <w:r>
        <w:t>已发布版本多副本归档存储，防止单点故障导致数据丢失；</w:t>
      </w:r>
    </w:p>
    <w:p w14:paraId="1E52DBEC">
      <w:pPr>
        <w:pStyle w:val="14"/>
        <w:numPr>
          <w:ilvl w:val="0"/>
          <w:numId w:val="1"/>
        </w:numPr>
        <w:spacing w:after="100"/>
        <w:ind w:left="240"/>
        <w:jc w:val="left"/>
      </w:pPr>
      <w:r>
        <w:t>Git 仓库定期全量备份，保障版本历史与提交记录可追溯。</w:t>
      </w:r>
    </w:p>
    <w:p w14:paraId="56F932D4">
      <w:pPr>
        <w:spacing w:after="200"/>
      </w:pPr>
      <w:r>
        <w:t xml:space="preserve"> </w:t>
      </w:r>
    </w:p>
    <w:p w14:paraId="43BD22C8">
      <w:pPr>
        <w:pStyle w:val="4"/>
        <w:spacing w:after="200"/>
        <w:jc w:val="left"/>
      </w:pPr>
      <w:r>
        <w:t>8.3 校验机制</w:t>
      </w:r>
    </w:p>
    <w:p w14:paraId="4042186C">
      <w:pPr>
        <w:pStyle w:val="14"/>
        <w:numPr>
          <w:ilvl w:val="0"/>
          <w:numId w:val="1"/>
        </w:numPr>
        <w:spacing w:after="100"/>
        <w:ind w:left="240"/>
        <w:jc w:val="left"/>
      </w:pPr>
      <w:r>
        <w:t>同步校验：模型同步时自动校验文件完整性，防止传输损坏；</w:t>
      </w:r>
    </w:p>
    <w:p w14:paraId="46D79EF2">
      <w:pPr>
        <w:pStyle w:val="14"/>
        <w:numPr>
          <w:ilvl w:val="0"/>
          <w:numId w:val="1"/>
        </w:numPr>
        <w:spacing w:after="100"/>
        <w:ind w:left="240"/>
        <w:jc w:val="left"/>
      </w:pPr>
      <w:r>
        <w:t>发布校验：发布前校验版本号唯一性、README 完整性、目录结构合规性；</w:t>
      </w:r>
    </w:p>
    <w:p w14:paraId="526F296E">
      <w:pPr>
        <w:pStyle w:val="14"/>
        <w:numPr>
          <w:ilvl w:val="0"/>
          <w:numId w:val="1"/>
        </w:numPr>
        <w:spacing w:after="100"/>
        <w:ind w:left="240"/>
        <w:jc w:val="left"/>
      </w:pPr>
      <w:r>
        <w:t>访问校验：下载、加载模型时自动校验文件哈希，防止版本被篡改。</w:t>
      </w:r>
    </w:p>
    <w:p w14:paraId="2D658E93">
      <w:pPr>
        <w:spacing w:after="200"/>
      </w:pPr>
      <w:r>
        <w:t xml:space="preserve"> </w:t>
      </w:r>
    </w:p>
    <w:p w14:paraId="60C0CEAA">
      <w:pPr>
        <w:pStyle w:val="3"/>
        <w:spacing w:after="200"/>
        <w:jc w:val="left"/>
      </w:pPr>
      <w:r>
        <w:t>九、模型文件分片上传下载</w:t>
      </w:r>
    </w:p>
    <w:p w14:paraId="0158FD9E">
      <w:pPr>
        <w:spacing w:after="120"/>
        <w:jc w:val="left"/>
      </w:pPr>
      <w:r>
        <w:t>针对大模型文件（数百MB至数GB）传输效率低、易中断、断点续传困难的问题，引入分片上传下载机制。详细方案请参见独立文档：</w:t>
      </w:r>
    </w:p>
    <w:p w14:paraId="068AB46F">
      <w:pPr>
        <w:spacing w:after="200"/>
      </w:pPr>
      <w:r>
        <w:t xml:space="preserve"> </w:t>
      </w:r>
    </w:p>
    <w:p w14:paraId="29886629">
      <w:pPr>
        <w:pStyle w:val="4"/>
        <w:spacing w:after="200"/>
        <w:jc w:val="left"/>
      </w:pPr>
      <w:r>
        <w:t>9.1 方案概要</w:t>
      </w:r>
    </w:p>
    <w:p w14:paraId="5E3F8AA9">
      <w:pPr>
        <w:spacing w:after="120"/>
        <w:jc w:val="left"/>
      </w:pPr>
      <w:r>
        <w:t>采用</w:t>
      </w:r>
      <w:r>
        <w:rPr>
          <w:b/>
          <w:bCs/>
        </w:rPr>
        <w:t>固定大小分块 + 断点续传</w:t>
      </w:r>
      <w:r>
        <w:t>的策略，将大文件切分为固定大小的块（默认 256KB），分块传输，支持断点续传和并发传输。</w:t>
      </w:r>
    </w:p>
    <w:p w14:paraId="6D38A35B">
      <w:pPr>
        <w:spacing w:after="200"/>
      </w:pPr>
      <w:r>
        <w:t xml:space="preserve"> </w:t>
      </w:r>
    </w:p>
    <w:p w14:paraId="3F8EC3A7">
      <w:pPr>
        <w:pStyle w:val="4"/>
        <w:spacing w:after="200"/>
        <w:jc w:val="left"/>
      </w:pPr>
      <w:r>
        <w:t>9.2 前端 Web 页面分片上传方法</w:t>
      </w:r>
    </w:p>
    <w:p w14:paraId="1F67269D">
      <w:pPr>
        <w:pStyle w:val="5"/>
        <w:spacing w:after="200"/>
        <w:jc w:val="left"/>
      </w:pPr>
      <w:r>
        <w:t>9.2.1 分片上传流程</w:t>
      </w:r>
    </w:p>
    <w:p w14:paraId="3EB240C8">
      <w:pPr>
        <w:spacing w:after="160"/>
        <w:jc w:val="center"/>
      </w:pPr>
      <w:r>
        <w:drawing>
          <wp:inline distT="0" distB="0" distL="0" distR="0">
            <wp:extent cx="3600450" cy="8572500"/>
            <wp:effectExtent l="0" t="0" r="0" b="0"/>
            <wp:docPr id="2" name="mermaid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rmaid diagram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857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768358">
      <w:pPr>
        <w:spacing w:after="200"/>
      </w:pPr>
      <w:r>
        <w:t xml:space="preserve"> </w:t>
      </w:r>
    </w:p>
    <w:p w14:paraId="3FB35361">
      <w:pPr>
        <w:pStyle w:val="5"/>
        <w:spacing w:after="200"/>
        <w:jc w:val="left"/>
      </w:pPr>
      <w:r>
        <w:t>9.2.2 前端上传代码实现</w:t>
      </w:r>
    </w:p>
    <w:p w14:paraId="5F053B27">
      <w:pPr>
        <w:shd w:val="clear" w:color="auto" w:fill="000000"/>
        <w:spacing w:before="160" w:after="200"/>
        <w:ind w:left="240" w:right="240"/>
        <w:jc w:val="left"/>
      </w:pP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class ChunkUploader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constructor(options)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this.baseUrl = options.baseUrl || '/api/file';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this.chunkSize = options.chunkSize || 256 * 1024; // 256KB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this.concurrency = options.concurrency || 3; // 并发数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this.file = options.file;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this.path = options.path;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this.onProgress = options.onProgress || (() =&gt; {});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this.onComplete = options.onComplete || (() =&gt; {});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this.onError = options.onError || (() =&gt; {});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async start()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try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const initResponse = await this.initUpload();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const { uploadId, totalChunks } = initResponse.data;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await this.uploadChunks(uploadId, totalChunks);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await this.completeUpload(uploadId);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this.onComplete({ uploadId, fileName: this.file.name });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} catch (error)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this.onError(error);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async initUpload()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const formData = new FormData();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formData.append('path', this.path);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formData.append('fileName', this.file.name);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formData.append('fileSize', this.file.size);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formData.append('chunkSize', this.chunkSize);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return fetch(`${this.baseUrl}/chunkUpload/init`,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method: 'POST',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body: formData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}).then(res =&gt; res.json());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async uploadChunks(uploadId, totalChunks)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const chunks = [];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for (let i = 0; i &lt; totalChunks; i++)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chunks.push(this.uploadChunk(uploadId, i));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let completed = 0;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const promises = chunks.map(promise =&gt;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promise.then(() =&gt;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completed++;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this.onProgress((completed / totalChunks) * 100);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})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await Promise.all(promises);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async uploadChunk(uploadId, chunkIndex)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const start = chunkIndex * this.chunkSize;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const end = Math.min(start + this.chunkSize, this.file.size);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const chunkData = this.file.slice(start, end);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const formData = new FormData();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formData.append('uploadId', uploadId);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formData.append('chunkIndex', chunkIndex);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formData.append('data', chunkData);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const response = await fetch(`${this.baseUrl}/chunkUpload/chunk`,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method: 'POST',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body: formData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});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if (!response.ok)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throw new Error(`上传分块 ${chunkIndex} 失败`);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return response.json();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async completeUpload(uploadId)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const formData = new FormData();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formData.append('uploadId', uploadId);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formData.append('fileName', this.file.name);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formData.append('path', this.path);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return fetch(`${this.baseUrl}/chunkUpload/complete`,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method: 'POST',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body: formData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}).then(res =&gt; res.json());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// 使用示例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const uploader = new ChunkUploader({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file: document.getElementById('fileInput').files[0],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path: '/models/',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chunkSize: 256 * 1024,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concurrency: 3,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onProgress: (progress) =&gt;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console.log(`上传进度: ${progress.toFixed(2)}%`);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},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onComplete: (result) =&gt;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console.log('上传完成:', result);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},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onError: (error) =&gt;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console.error('上传失败:', error);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});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uploader.start();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</w:p>
    <w:p w14:paraId="26419819">
      <w:pPr>
        <w:spacing w:after="200"/>
      </w:pPr>
      <w:r>
        <w:t xml:space="preserve"> </w:t>
      </w:r>
    </w:p>
    <w:p w14:paraId="79364F18">
      <w:pPr>
        <w:pStyle w:val="4"/>
        <w:spacing w:after="200"/>
        <w:jc w:val="left"/>
      </w:pPr>
      <w:r>
        <w:t>9.3 前端 Web 页面分片下载方法</w:t>
      </w:r>
    </w:p>
    <w:p w14:paraId="1EF0467C">
      <w:pPr>
        <w:pStyle w:val="5"/>
        <w:spacing w:after="200"/>
        <w:jc w:val="left"/>
      </w:pPr>
      <w:r>
        <w:t>9.3.1 分片下载流程</w:t>
      </w:r>
    </w:p>
    <w:p w14:paraId="123F8421">
      <w:pPr>
        <w:spacing w:after="160"/>
        <w:jc w:val="center"/>
      </w:pPr>
      <w:r>
        <w:drawing>
          <wp:inline distT="0" distB="0" distL="0" distR="0">
            <wp:extent cx="3657600" cy="8572500"/>
            <wp:effectExtent l="0" t="0" r="0" b="0"/>
            <wp:docPr id="3" name="mermaid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ermaid diagram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857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A88037">
      <w:pPr>
        <w:spacing w:after="200"/>
      </w:pPr>
      <w:r>
        <w:t xml:space="preserve"> </w:t>
      </w:r>
    </w:p>
    <w:p w14:paraId="12850A25">
      <w:pPr>
        <w:pStyle w:val="5"/>
        <w:spacing w:after="200"/>
        <w:jc w:val="left"/>
      </w:pPr>
      <w:r>
        <w:t>9.3.2 前端下载代码实现</w:t>
      </w:r>
    </w:p>
    <w:p w14:paraId="209C9BB3">
      <w:pPr>
        <w:shd w:val="clear" w:color="auto" w:fill="000000"/>
        <w:spacing w:before="160" w:after="200"/>
        <w:ind w:left="240" w:right="240"/>
        <w:jc w:val="left"/>
      </w:pP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class ChunkDownloader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constructor(options)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this.baseUrl = options.baseUrl || '/api/file';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this.version = options.version;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this.fileName = options.fileName;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this.chunkSize = options.chunkSize || 256 * 1024;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this.onProgress = options.onProgress || (() =&gt; {});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this.onComplete = options.onComplete || (() =&gt; {});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this.onError = options.onError || (() =&gt; {});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async start()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try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const initResponse = await this.initDownload();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const { fileName, fileSize, totalChunks, chunks } = initResponse.data;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const blob = await this.downloadChunks(chunks, totalChunks);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this.saveFile(blob, fileName);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this.onComplete({ fileName, fileSize });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} catch (error)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this.onError(error);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async initDownload()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const params = new URLSearchParams({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version: this.version,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fileName: this.fileName,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chunkSize: this.chunkSize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});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return fetch(`${this.baseUrl}/chunkDownload/init?${params}`)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.then(res =&gt; res.json());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async downloadChunks(chunks, totalChunks)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const chunkData = new Array(totalChunks);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let completed = 0;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const promises = chunks.map(async (chunk) =&gt;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const data = await this.downloadChunk(chunk.index);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chunkData[chunk.index] = data;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completed++;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this.onProgress((completed / totalChunks) * 100);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});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await Promise.all(promises);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return new Blob(chunkData, { type: 'application/octet-stream' });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async downloadChunk(chunkIndex)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const params = new URLSearchParams({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version: this.version,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fileName: this.fileName,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chunkIndex: chunkIndex,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chunkSize: this.chunkSize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});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const response = await fetch(`${this.baseUrl}/chunkDownload/chunk?${params}`);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if (!response.ok)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throw new Error(`下载分块 ${chunkIndex} 失败`);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return response.arrayBuffer();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saveFile(blob, fileName)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const url = URL.createObjectURL(blob);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const a = document.createElement('a');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a.href = url;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a.download = fileName;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document.body.appendChild(a);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a.click();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document.body.removeChild(a);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URL.revokeObjectURL(url);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// 使用示例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const downloader = new ChunkDownloader({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version: '1001_yolov8_v1.0.0',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fileName: 'model.bin',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chunkSize: 256 * 1024,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onProgress: (progress) =&gt;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console.log(`下载进度: ${progress.toFixed(2)}%`);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},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onComplete: (result) =&gt;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console.log('下载完成:', result);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},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onError: (error) =&gt;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console.error('下载失败:', error);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});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downloader.start();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</w:p>
    <w:p w14:paraId="7EE7C226">
      <w:pPr>
        <w:spacing w:after="200"/>
      </w:pPr>
      <w:r>
        <w:t xml:space="preserve"> </w:t>
      </w:r>
    </w:p>
    <w:p w14:paraId="10846524">
      <w:pPr>
        <w:pStyle w:val="4"/>
        <w:spacing w:after="200"/>
        <w:jc w:val="left"/>
      </w:pPr>
      <w:r>
        <w:t>9.4 Python 脚本分片上传方法</w:t>
      </w:r>
    </w:p>
    <w:p w14:paraId="02780D3F">
      <w:pPr>
        <w:pStyle w:val="5"/>
        <w:spacing w:after="200"/>
        <w:jc w:val="left"/>
      </w:pPr>
      <w:r>
        <w:t>9.4.1 Python 上传脚本</w:t>
      </w:r>
    </w:p>
    <w:p w14:paraId="2F723ABF">
      <w:pPr>
        <w:shd w:val="clear" w:color="auto" w:fill="000000"/>
        <w:spacing w:before="160" w:after="200"/>
        <w:ind w:left="240" w:right="240"/>
        <w:jc w:val="left"/>
      </w:pP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import os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import requests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import hashlib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from tqdm import tqdm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class ChunkUploader: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def __init__(self, base_url, chunk_size=256 * 1024, concurrency=3):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self.base_url = base_url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self.chunk_size = chunk_size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self.concurrency = concurrency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def upload_file(self, file_path, target_path):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"""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上传文件到指定路径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:param file_path: 本地文件路径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:param target_path: 目标存储路径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:return: 上传结果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"""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file_name = os.path.basename(file_path)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file_size = os.path.getsize(file_path)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# 1. 初始化上传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print(f"初始化上传: {file_name} ({file_size / 1024 / 1024:.2f} MB)")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init_response = self._init_upload(target_path, file_name, file_size)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upload_id = init_response['data']['uploadId']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total_chunks = init_response['data']['totalChunks']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print(f"上传ID: {upload_id}, 总分块数: {total_chunks}")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# 2. 上传分块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print("开始上传分块...")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self._upload_chunks(file_path, upload_id, total_chunks)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# 3. 完成上传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print("完成上传...")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result = self._complete_upload(upload_id, file_name, target_path)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print(f"上传成功! 文件路径: {result['data']['filePath']}")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return result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def _init_upload(self, path, file_name, file_size):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"""初始化上传会话"""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url = f"{self.base_url}/chunkUpload/init"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data =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'path': path,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'fileName': file_name,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'fileSize': file_size,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'chunkSize': self.chunk_size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response = requests.post(url, data=data)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response.raise_for_status()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return response.json()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def _upload_chunks(self, file_path, upload_id, total_chunks):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"""上传所有分块"""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url = f"{self.base_url}/chunkUpload/chunk"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with open(file_path, 'rb') as f: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with tqdm(total=total_chunks, desc="上传进度") as pbar: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for chunk_index in range(total_chunks):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    start = chunk_index * self.chunk_size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    end = start + self.chunk_size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    chunk_data = f.read(self.chunk_size)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    if not chunk_data: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        break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    files =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        'data': (f'chunk_{chunk_index}', chunk_data)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    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    data =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        'uploadId': upload_id,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        'chunkIndex': chunk_index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    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    response = requests.post(url, data=data, files=files)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    response.raise_for_status()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    pbar.update(1)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def _complete_upload(self, upload_id, file_name, path):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"""完成上传，合并分块"""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url = f"{self.base_url}/chunkUpload/complete"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data =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'uploadId': upload_id,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'fileName': file_name,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'path': path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response = requests.post(url, data=data)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response.raise_for_status()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return response.json()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 使用示例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if __name__ == '__main__':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uploader = ChunkUploader(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base_url='http://localhost:8080/api/file',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chunk_size=256 * 1024,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concurrency=3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uploader.upload_file(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file_path='/path/to/local/model.bin',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target_path='/models/1001_yolov8_v1.0.0/'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</w:p>
    <w:p w14:paraId="0D257DBC">
      <w:pPr>
        <w:spacing w:after="200"/>
      </w:pPr>
      <w:r>
        <w:t xml:space="preserve"> </w:t>
      </w:r>
    </w:p>
    <w:p w14:paraId="63370C62">
      <w:pPr>
        <w:pStyle w:val="4"/>
        <w:spacing w:after="200"/>
        <w:jc w:val="left"/>
      </w:pPr>
      <w:r>
        <w:t>9.5 Python 脚本分片下载方法</w:t>
      </w:r>
    </w:p>
    <w:p w14:paraId="34053EAE">
      <w:pPr>
        <w:pStyle w:val="5"/>
        <w:spacing w:after="200"/>
        <w:jc w:val="left"/>
      </w:pPr>
      <w:r>
        <w:t>9.5.1 Python 下载脚本</w:t>
      </w:r>
    </w:p>
    <w:p w14:paraId="47F8223A">
      <w:pPr>
        <w:shd w:val="clear" w:color="auto" w:fill="000000"/>
        <w:spacing w:before="160" w:after="200"/>
        <w:ind w:left="240" w:right="240"/>
        <w:jc w:val="left"/>
      </w:pP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import os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import requests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from tqdm import tqdm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class ChunkDownloader: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def __init__(self, base_url, chunk_size=256 * 1024):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self.base_url = base_url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self.chunk_size = chunk_size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def download_file(self, version, file_name, save_path):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"""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下载指定版本的模型文件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:param version: 版本标识，如 '1001_yolov8_v1.0.0'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:param file_name: 文件名，如 'model.bin'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:param save_path: 本地保存路径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:return: 下载结果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"""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# 1. 初始化下载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print(f"初始化下载: {version}/{file_name}")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init_response = self._init_download(version, file_name)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total_chunks = init_response['data']['totalChunks']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file_size = init_response['data']['fileSize']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print(f"文件大小: {file_size / 1024 / 1024:.2f} MB, 总分块数: {total_chunks}")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# 2. 下载分块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print("开始下载分块...")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chunk_data = self._download_chunks(version, file_name, total_chunks)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# 3. 合并并保存文件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print("合并分块并保存文件...")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self._save_file(chunk_data, save_path, file_name)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print(f"下载成功! 保存路径: {os.path.join(save_path, file_name)}")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return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'version': version,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'fileName': file_name,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'fileSize': file_size,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'savePath': os.path.join(save_path, file_name)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def _init_download(self, version, file_name):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"""初始化下载会话，获取分块清单"""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url = f"{self.base_url}/chunkDownload/init"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params =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'version': version,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'fileName': file_name,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'chunkSize': self.chunk_size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response = requests.get(url, params=params)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response.raise_for_status()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return response.json()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def _download_chunks(self, version, file_name, total_chunks):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"""下载所有分块"""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url = f"{self.base_url}/chunkDownload/chunk"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chunk_data = []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with tqdm(total=total_chunks, desc="下载进度") as pbar: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for chunk_index in range(total_chunks):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params =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    'version': version,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    'fileName': file_name,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    'chunkIndex': chunk_index,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    'chunkSize': self.chunk_size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response = requests.get(url, params=params)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response.raise_for_status()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chunk_data.append(response.content)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pbar.update(1)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return chunk_data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def _save_file(self, chunk_data, save_path, file_name):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"""合并分块并保存文件"""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os.makedirs(save_path, exist_ok=True)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full_path = os.path.join(save_path, file_name)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with open(full_path, 'wb') as f: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for chunk in chunk_data: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        f.write(chunk)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# 使用示例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if __name__ == '__main__':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downloader = ChunkDownloader(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base_url='http://localhost:8080/api/file',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chunk_size=256 * 1024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downloader.download_file(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version='1001_yolov8_v1.0.0',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file_name='model.bin',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save_path='/path/to/local/save/'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)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</w:p>
    <w:p w14:paraId="1394DCA3">
      <w:pPr>
        <w:spacing w:after="200"/>
      </w:pPr>
      <w:r>
        <w:t xml:space="preserve"> </w:t>
      </w:r>
    </w:p>
    <w:p w14:paraId="15F9A86B">
      <w:pPr>
        <w:pStyle w:val="4"/>
        <w:spacing w:after="200"/>
        <w:jc w:val="left"/>
      </w:pPr>
      <w:r>
        <w:t>9.6 接口定义</w:t>
      </w:r>
    </w:p>
    <w:p w14:paraId="712B97F6">
      <w:pPr>
        <w:pStyle w:val="5"/>
        <w:spacing w:after="200"/>
        <w:jc w:val="left"/>
      </w:pPr>
      <w:r>
        <w:t>9.6.1 上传接口</w:t>
      </w:r>
    </w:p>
    <w:p w14:paraId="31621F45">
      <w:pPr>
        <w:spacing w:after="240"/>
      </w:pPr>
      <w:r>
        <w:t xml:space="preserve"> </w:t>
      </w:r>
    </w:p>
    <w:tbl>
      <w:tblPr>
        <w:tblStyle w:val="10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80" w:type="dxa"/>
          <w:left w:w="120" w:type="dxa"/>
          <w:bottom w:w="80" w:type="dxa"/>
          <w:right w:w="120" w:type="dxa"/>
        </w:tblCellMar>
      </w:tblPr>
      <w:tblGrid>
        <w:gridCol w:w="2664"/>
        <w:gridCol w:w="2085"/>
        <w:gridCol w:w="1390"/>
        <w:gridCol w:w="3127"/>
      </w:tblGrid>
      <w:tr w14:paraId="73D55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0" w:type="dxa"/>
            <w:bottom w:w="80" w:type="dxa"/>
            <w:right w:w="120" w:type="dxa"/>
          </w:tblCellMar>
        </w:tblPrEx>
        <w:trPr>
          <w:tblHeader/>
        </w:trPr>
        <w:tc>
          <w:p w14:paraId="20EEA87D">
            <w:pPr>
              <w:jc w:val="left"/>
            </w:pPr>
            <w:r>
              <w:rPr>
                <w:b/>
                <w:bCs/>
              </w:rPr>
              <w:t>接口路径</w:t>
            </w:r>
          </w:p>
        </w:tc>
        <w:tc>
          <w:p w14:paraId="59E471EB">
            <w:pPr>
              <w:jc w:val="left"/>
            </w:pPr>
            <w:r>
              <w:rPr>
                <w:b/>
                <w:bCs/>
              </w:rPr>
              <w:t>功能</w:t>
            </w:r>
          </w:p>
        </w:tc>
        <w:tc>
          <w:p w14:paraId="5BCBF7D1">
            <w:pPr>
              <w:jc w:val="left"/>
            </w:pPr>
            <w:r>
              <w:rPr>
                <w:b/>
                <w:bCs/>
              </w:rPr>
              <w:t>HTTP方法</w:t>
            </w:r>
          </w:p>
        </w:tc>
        <w:tc>
          <w:p w14:paraId="6B46FBF5">
            <w:pPr>
              <w:jc w:val="left"/>
            </w:pPr>
            <w:r>
              <w:rPr>
                <w:b/>
                <w:bCs/>
              </w:rPr>
              <w:t>参数</w:t>
            </w:r>
          </w:p>
        </w:tc>
      </w:tr>
      <w:tr w14:paraId="6E689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0" w:type="dxa"/>
            <w:bottom w:w="80" w:type="dxa"/>
            <w:right w:w="120" w:type="dxa"/>
          </w:tblCellMar>
        </w:tblPrEx>
        <w:tc>
          <w:p w14:paraId="1C91B48B">
            <w:pPr>
              <w:jc w:val="left"/>
            </w:pPr>
            <w:r>
              <w:rPr>
                <w:rFonts w:ascii="Courier New" w:hAnsi="Courier New" w:eastAsia="Courier New" w:cs="Courier New"/>
                <w:shd w:val="clear" w:color="auto" w:fill="F1F5F9"/>
              </w:rPr>
              <w:t>/api/file/chunkUpload/init</w:t>
            </w:r>
          </w:p>
        </w:tc>
        <w:tc>
          <w:p w14:paraId="6EFD5A7B">
            <w:pPr>
              <w:jc w:val="left"/>
            </w:pPr>
            <w:r>
              <w:t>初始化上传</w:t>
            </w:r>
          </w:p>
        </w:tc>
        <w:tc>
          <w:p w14:paraId="3C8A00EC">
            <w:pPr>
              <w:jc w:val="left"/>
            </w:pPr>
            <w:r>
              <w:t>POST</w:t>
            </w:r>
          </w:p>
        </w:tc>
        <w:tc>
          <w:p w14:paraId="7E7FDC55">
            <w:pPr>
              <w:jc w:val="left"/>
            </w:pPr>
            <w:r>
              <w:rPr>
                <w:rFonts w:ascii="Courier New" w:hAnsi="Courier New" w:eastAsia="Courier New" w:cs="Courier New"/>
                <w:shd w:val="clear" w:color="auto" w:fill="F1F5F9"/>
              </w:rPr>
              <w:t>path</w:t>
            </w:r>
            <w:r>
              <w:t xml:space="preserve">, </w:t>
            </w:r>
            <w:r>
              <w:rPr>
                <w:rFonts w:ascii="Courier New" w:hAnsi="Courier New" w:eastAsia="Courier New" w:cs="Courier New"/>
                <w:shd w:val="clear" w:color="auto" w:fill="F1F5F9"/>
              </w:rPr>
              <w:t>fileName</w:t>
            </w:r>
            <w:r>
              <w:t xml:space="preserve">, </w:t>
            </w:r>
            <w:r>
              <w:rPr>
                <w:rFonts w:ascii="Courier New" w:hAnsi="Courier New" w:eastAsia="Courier New" w:cs="Courier New"/>
                <w:shd w:val="clear" w:color="auto" w:fill="F1F5F9"/>
              </w:rPr>
              <w:t>fileSize</w:t>
            </w:r>
            <w:r>
              <w:t xml:space="preserve">, </w:t>
            </w:r>
            <w:r>
              <w:rPr>
                <w:rFonts w:ascii="Courier New" w:hAnsi="Courier New" w:eastAsia="Courier New" w:cs="Courier New"/>
                <w:shd w:val="clear" w:color="auto" w:fill="F1F5F9"/>
              </w:rPr>
              <w:t>chunkSize</w:t>
            </w:r>
          </w:p>
        </w:tc>
      </w:tr>
      <w:tr w14:paraId="6BA6B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0" w:type="dxa"/>
            <w:bottom w:w="80" w:type="dxa"/>
            <w:right w:w="120" w:type="dxa"/>
          </w:tblCellMar>
        </w:tblPrEx>
        <w:tc>
          <w:p w14:paraId="51DA31D8">
            <w:pPr>
              <w:jc w:val="left"/>
            </w:pPr>
            <w:r>
              <w:rPr>
                <w:rFonts w:ascii="Courier New" w:hAnsi="Courier New" w:eastAsia="Courier New" w:cs="Courier New"/>
                <w:shd w:val="clear" w:color="auto" w:fill="F1F5F9"/>
              </w:rPr>
              <w:t>/api/file/chunkUpload/chunk</w:t>
            </w:r>
          </w:p>
        </w:tc>
        <w:tc>
          <w:p w14:paraId="3416DD8E">
            <w:pPr>
              <w:jc w:val="left"/>
            </w:pPr>
            <w:r>
              <w:t>上传单个分块</w:t>
            </w:r>
          </w:p>
        </w:tc>
        <w:tc>
          <w:p w14:paraId="2AF7E815">
            <w:pPr>
              <w:jc w:val="left"/>
            </w:pPr>
            <w:r>
              <w:t>POST</w:t>
            </w:r>
          </w:p>
        </w:tc>
        <w:tc>
          <w:p w14:paraId="2312C179">
            <w:pPr>
              <w:jc w:val="left"/>
            </w:pPr>
            <w:r>
              <w:rPr>
                <w:rFonts w:ascii="Courier New" w:hAnsi="Courier New" w:eastAsia="Courier New" w:cs="Courier New"/>
                <w:shd w:val="clear" w:color="auto" w:fill="F1F5F9"/>
              </w:rPr>
              <w:t>uploadId</w:t>
            </w:r>
            <w:r>
              <w:t xml:space="preserve">, </w:t>
            </w:r>
            <w:r>
              <w:rPr>
                <w:rFonts w:ascii="Courier New" w:hAnsi="Courier New" w:eastAsia="Courier New" w:cs="Courier New"/>
                <w:shd w:val="clear" w:color="auto" w:fill="F1F5F9"/>
              </w:rPr>
              <w:t>chunkIndex</w:t>
            </w:r>
            <w:r>
              <w:t xml:space="preserve">, </w:t>
            </w:r>
            <w:r>
              <w:rPr>
                <w:rFonts w:ascii="Courier New" w:hAnsi="Courier New" w:eastAsia="Courier New" w:cs="Courier New"/>
                <w:shd w:val="clear" w:color="auto" w:fill="F1F5F9"/>
              </w:rPr>
              <w:t>data</w:t>
            </w:r>
            <w:r>
              <w:t>(文件流)</w:t>
            </w:r>
          </w:p>
        </w:tc>
      </w:tr>
      <w:tr w14:paraId="2B707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0" w:type="dxa"/>
            <w:bottom w:w="80" w:type="dxa"/>
            <w:right w:w="120" w:type="dxa"/>
          </w:tblCellMar>
        </w:tblPrEx>
        <w:tc>
          <w:p w14:paraId="2D628FAB">
            <w:pPr>
              <w:jc w:val="left"/>
            </w:pPr>
            <w:r>
              <w:rPr>
                <w:rFonts w:ascii="Courier New" w:hAnsi="Courier New" w:eastAsia="Courier New" w:cs="Courier New"/>
                <w:shd w:val="clear" w:color="auto" w:fill="F1F5F9"/>
              </w:rPr>
              <w:t>/api/file/chunkUpload/complete</w:t>
            </w:r>
          </w:p>
        </w:tc>
        <w:tc>
          <w:p w14:paraId="2A4C2D7F">
            <w:pPr>
              <w:jc w:val="left"/>
            </w:pPr>
            <w:r>
              <w:t>完成上传（合并分块）</w:t>
            </w:r>
          </w:p>
        </w:tc>
        <w:tc>
          <w:p w14:paraId="027015E3">
            <w:pPr>
              <w:jc w:val="left"/>
            </w:pPr>
            <w:r>
              <w:t>POST</w:t>
            </w:r>
          </w:p>
        </w:tc>
        <w:tc>
          <w:p w14:paraId="4C3DA00E">
            <w:pPr>
              <w:jc w:val="left"/>
            </w:pPr>
            <w:r>
              <w:rPr>
                <w:rFonts w:ascii="Courier New" w:hAnsi="Courier New" w:eastAsia="Courier New" w:cs="Courier New"/>
                <w:shd w:val="clear" w:color="auto" w:fill="F1F5F9"/>
              </w:rPr>
              <w:t>uploadId</w:t>
            </w:r>
            <w:r>
              <w:t xml:space="preserve">, </w:t>
            </w:r>
            <w:r>
              <w:rPr>
                <w:rFonts w:ascii="Courier New" w:hAnsi="Courier New" w:eastAsia="Courier New" w:cs="Courier New"/>
                <w:shd w:val="clear" w:color="auto" w:fill="F1F5F9"/>
              </w:rPr>
              <w:t>fileName</w:t>
            </w:r>
            <w:r>
              <w:t xml:space="preserve">, </w:t>
            </w:r>
            <w:r>
              <w:rPr>
                <w:rFonts w:ascii="Courier New" w:hAnsi="Courier New" w:eastAsia="Courier New" w:cs="Courier New"/>
                <w:shd w:val="clear" w:color="auto" w:fill="F1F5F9"/>
              </w:rPr>
              <w:t>path</w:t>
            </w:r>
          </w:p>
        </w:tc>
      </w:tr>
    </w:tbl>
    <w:p w14:paraId="39AC6D63">
      <w:pPr>
        <w:spacing w:before="240"/>
      </w:pPr>
      <w:r>
        <w:t xml:space="preserve"> </w:t>
      </w:r>
    </w:p>
    <w:p w14:paraId="3DB9956E">
      <w:pPr>
        <w:pStyle w:val="5"/>
        <w:spacing w:after="200"/>
        <w:jc w:val="left"/>
      </w:pPr>
      <w:r>
        <w:t>9.6.2 下载接口</w:t>
      </w:r>
    </w:p>
    <w:p w14:paraId="35AFEF7A">
      <w:pPr>
        <w:spacing w:after="240"/>
      </w:pPr>
      <w:r>
        <w:t xml:space="preserve"> </w:t>
      </w:r>
    </w:p>
    <w:tbl>
      <w:tblPr>
        <w:tblStyle w:val="10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80" w:type="dxa"/>
          <w:left w:w="120" w:type="dxa"/>
          <w:bottom w:w="80" w:type="dxa"/>
          <w:right w:w="120" w:type="dxa"/>
        </w:tblCellMar>
      </w:tblPr>
      <w:tblGrid>
        <w:gridCol w:w="2537"/>
        <w:gridCol w:w="2317"/>
        <w:gridCol w:w="1324"/>
        <w:gridCol w:w="3089"/>
      </w:tblGrid>
      <w:tr w14:paraId="3C62F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0" w:type="dxa"/>
            <w:bottom w:w="80" w:type="dxa"/>
            <w:right w:w="120" w:type="dxa"/>
          </w:tblCellMar>
        </w:tblPrEx>
        <w:trPr>
          <w:tblHeader/>
        </w:trPr>
        <w:tc>
          <w:p w14:paraId="6361FAB8">
            <w:pPr>
              <w:jc w:val="left"/>
            </w:pPr>
            <w:r>
              <w:rPr>
                <w:b/>
                <w:bCs/>
              </w:rPr>
              <w:t>接口路径</w:t>
            </w:r>
          </w:p>
        </w:tc>
        <w:tc>
          <w:p w14:paraId="0F11074F">
            <w:pPr>
              <w:jc w:val="left"/>
            </w:pPr>
            <w:r>
              <w:rPr>
                <w:b/>
                <w:bCs/>
              </w:rPr>
              <w:t>功能</w:t>
            </w:r>
          </w:p>
        </w:tc>
        <w:tc>
          <w:p w14:paraId="66C04273">
            <w:pPr>
              <w:jc w:val="left"/>
            </w:pPr>
            <w:r>
              <w:rPr>
                <w:b/>
                <w:bCs/>
              </w:rPr>
              <w:t>HTTP方法</w:t>
            </w:r>
          </w:p>
        </w:tc>
        <w:tc>
          <w:p w14:paraId="746CEE88">
            <w:pPr>
              <w:jc w:val="left"/>
            </w:pPr>
            <w:r>
              <w:rPr>
                <w:b/>
                <w:bCs/>
              </w:rPr>
              <w:t>参数</w:t>
            </w:r>
          </w:p>
        </w:tc>
      </w:tr>
      <w:tr w14:paraId="4CD32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0" w:type="dxa"/>
            <w:bottom w:w="80" w:type="dxa"/>
            <w:right w:w="120" w:type="dxa"/>
          </w:tblCellMar>
        </w:tblPrEx>
        <w:tc>
          <w:p w14:paraId="4B526A71">
            <w:pPr>
              <w:jc w:val="left"/>
            </w:pPr>
            <w:r>
              <w:rPr>
                <w:rFonts w:ascii="Courier New" w:hAnsi="Courier New" w:eastAsia="Courier New" w:cs="Courier New"/>
                <w:shd w:val="clear" w:color="auto" w:fill="F1F5F9"/>
              </w:rPr>
              <w:t>/api/file/chunkDownload/init</w:t>
            </w:r>
          </w:p>
        </w:tc>
        <w:tc>
          <w:p w14:paraId="5D3D1035">
            <w:pPr>
              <w:jc w:val="left"/>
            </w:pPr>
            <w:r>
              <w:t>初始化下载（获取分块清单）</w:t>
            </w:r>
          </w:p>
        </w:tc>
        <w:tc>
          <w:p w14:paraId="1F456D8D">
            <w:pPr>
              <w:jc w:val="left"/>
            </w:pPr>
            <w:r>
              <w:t>GET</w:t>
            </w:r>
          </w:p>
        </w:tc>
        <w:tc>
          <w:p w14:paraId="53BCDD9A">
            <w:pPr>
              <w:jc w:val="left"/>
            </w:pPr>
            <w:r>
              <w:rPr>
                <w:rFonts w:ascii="Courier New" w:hAnsi="Courier New" w:eastAsia="Courier New" w:cs="Courier New"/>
                <w:shd w:val="clear" w:color="auto" w:fill="F1F5F9"/>
              </w:rPr>
              <w:t>version</w:t>
            </w:r>
            <w:r>
              <w:t xml:space="preserve">, </w:t>
            </w:r>
            <w:r>
              <w:rPr>
                <w:rFonts w:ascii="Courier New" w:hAnsi="Courier New" w:eastAsia="Courier New" w:cs="Courier New"/>
                <w:shd w:val="clear" w:color="auto" w:fill="F1F5F9"/>
              </w:rPr>
              <w:t>fileName</w:t>
            </w:r>
            <w:r>
              <w:t xml:space="preserve">, </w:t>
            </w:r>
            <w:r>
              <w:rPr>
                <w:rFonts w:ascii="Courier New" w:hAnsi="Courier New" w:eastAsia="Courier New" w:cs="Courier New"/>
                <w:shd w:val="clear" w:color="auto" w:fill="F1F5F9"/>
              </w:rPr>
              <w:t>chunkSize</w:t>
            </w:r>
          </w:p>
        </w:tc>
      </w:tr>
      <w:tr w14:paraId="29F3D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0" w:type="dxa"/>
            <w:bottom w:w="80" w:type="dxa"/>
            <w:right w:w="120" w:type="dxa"/>
          </w:tblCellMar>
        </w:tblPrEx>
        <w:tc>
          <w:p w14:paraId="15C5FAD8">
            <w:pPr>
              <w:jc w:val="left"/>
            </w:pPr>
            <w:r>
              <w:rPr>
                <w:rFonts w:ascii="Courier New" w:hAnsi="Courier New" w:eastAsia="Courier New" w:cs="Courier New"/>
                <w:shd w:val="clear" w:color="auto" w:fill="F1F5F9"/>
              </w:rPr>
              <w:t>/api/file/chunkDownload/chunk</w:t>
            </w:r>
          </w:p>
        </w:tc>
        <w:tc>
          <w:p w14:paraId="7BD74A61">
            <w:pPr>
              <w:jc w:val="left"/>
            </w:pPr>
            <w:r>
              <w:t>下载单个分</w:t>
            </w:r>
            <w:bookmarkStart w:id="0" w:name="_GoBack"/>
            <w:bookmarkEnd w:id="0"/>
            <w:r>
              <w:t>块</w:t>
            </w:r>
          </w:p>
        </w:tc>
        <w:tc>
          <w:p w14:paraId="5F37BAF1">
            <w:pPr>
              <w:jc w:val="left"/>
            </w:pPr>
            <w:r>
              <w:t>GET</w:t>
            </w:r>
          </w:p>
        </w:tc>
        <w:tc>
          <w:p w14:paraId="3DE81230">
            <w:pPr>
              <w:jc w:val="left"/>
            </w:pPr>
            <w:r>
              <w:rPr>
                <w:rFonts w:ascii="Courier New" w:hAnsi="Courier New" w:eastAsia="Courier New" w:cs="Courier New"/>
                <w:shd w:val="clear" w:color="auto" w:fill="F1F5F9"/>
              </w:rPr>
              <w:t>version</w:t>
            </w:r>
            <w:r>
              <w:t xml:space="preserve">, </w:t>
            </w:r>
            <w:r>
              <w:rPr>
                <w:rFonts w:ascii="Courier New" w:hAnsi="Courier New" w:eastAsia="Courier New" w:cs="Courier New"/>
                <w:shd w:val="clear" w:color="auto" w:fill="F1F5F9"/>
              </w:rPr>
              <w:t>fileName</w:t>
            </w:r>
            <w:r>
              <w:t xml:space="preserve">, </w:t>
            </w:r>
            <w:r>
              <w:rPr>
                <w:rFonts w:ascii="Courier New" w:hAnsi="Courier New" w:eastAsia="Courier New" w:cs="Courier New"/>
                <w:shd w:val="clear" w:color="auto" w:fill="F1F5F9"/>
              </w:rPr>
              <w:t>chunkIndex</w:t>
            </w:r>
            <w:r>
              <w:t xml:space="preserve">, </w:t>
            </w:r>
            <w:r>
              <w:rPr>
                <w:rFonts w:ascii="Courier New" w:hAnsi="Courier New" w:eastAsia="Courier New" w:cs="Courier New"/>
                <w:shd w:val="clear" w:color="auto" w:fill="F1F5F9"/>
              </w:rPr>
              <w:t>chunkSize</w:t>
            </w:r>
          </w:p>
        </w:tc>
      </w:tr>
    </w:tbl>
    <w:p w14:paraId="03A7E8CC">
      <w:pPr>
        <w:spacing w:before="240"/>
      </w:pPr>
      <w:r>
        <w:t xml:space="preserve"> </w:t>
      </w:r>
    </w:p>
    <w:p w14:paraId="5376590D">
      <w:pPr>
        <w:pStyle w:val="5"/>
        <w:spacing w:after="200"/>
        <w:jc w:val="left"/>
      </w:pPr>
      <w:r>
        <w:t>9.6.3 接口响应格式</w:t>
      </w:r>
    </w:p>
    <w:p w14:paraId="046580BC">
      <w:pPr>
        <w:spacing w:after="120"/>
        <w:jc w:val="left"/>
      </w:pPr>
      <w:r>
        <w:rPr>
          <w:b/>
          <w:bCs/>
        </w:rPr>
        <w:t>成功响应</w:t>
      </w:r>
      <w:r>
        <w:t>：</w:t>
      </w:r>
    </w:p>
    <w:p w14:paraId="1AB5F703">
      <w:pPr>
        <w:spacing w:after="200"/>
      </w:pPr>
      <w:r>
        <w:t xml:space="preserve"> </w:t>
      </w:r>
    </w:p>
    <w:p w14:paraId="25001FF6">
      <w:pPr>
        <w:shd w:val="clear" w:color="auto" w:fill="000000"/>
        <w:spacing w:before="160" w:after="200"/>
        <w:ind w:left="240" w:right="240"/>
        <w:jc w:val="left"/>
      </w:pP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"code": 200,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"msg": "操作成功",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"data":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   // 业务数据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</w:p>
    <w:p w14:paraId="2C51B8B9">
      <w:pPr>
        <w:spacing w:after="200"/>
      </w:pPr>
      <w:r>
        <w:t xml:space="preserve"> </w:t>
      </w:r>
    </w:p>
    <w:p w14:paraId="2EDF23FF">
      <w:pPr>
        <w:spacing w:after="120"/>
        <w:jc w:val="left"/>
      </w:pPr>
      <w:r>
        <w:rPr>
          <w:b/>
          <w:bCs/>
        </w:rPr>
        <w:t>失败响应</w:t>
      </w:r>
      <w:r>
        <w:t>：</w:t>
      </w:r>
    </w:p>
    <w:p w14:paraId="4D9D4060">
      <w:pPr>
        <w:spacing w:after="200"/>
      </w:pPr>
      <w:r>
        <w:t xml:space="preserve"> </w:t>
      </w:r>
    </w:p>
    <w:p w14:paraId="47D08A2A">
      <w:pPr>
        <w:shd w:val="clear" w:color="auto" w:fill="000000"/>
        <w:spacing w:before="160" w:after="200"/>
        <w:ind w:left="240" w:right="240"/>
        <w:jc w:val="left"/>
      </w:pP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{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"code": 500,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"msg": "错误信息",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"data": null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}    </w:t>
      </w:r>
      <w:r>
        <w:br w:type="textWrapping"/>
      </w:r>
      <w:r>
        <w:rPr>
          <w:rFonts w:ascii="Courier New" w:hAnsi="Courier New" w:eastAsia="Courier New" w:cs="Courier New"/>
          <w:color w:val="FFFFFF"/>
          <w:sz w:val="20"/>
          <w:szCs w:val="20"/>
        </w:rPr>
        <w:t xml:space="preserve">         </w:t>
      </w:r>
    </w:p>
    <w:p w14:paraId="6B5BF170">
      <w:pPr>
        <w:spacing w:after="200"/>
      </w:pPr>
      <w:r>
        <w:t xml:space="preserve"> </w:t>
      </w:r>
    </w:p>
    <w:p w14:paraId="7CE0FE01">
      <w:pPr>
        <w:pStyle w:val="4"/>
        <w:spacing w:after="200"/>
        <w:jc w:val="left"/>
      </w:pPr>
      <w:r>
        <w:t>9.7 优势与注意事项</w:t>
      </w:r>
    </w:p>
    <w:p w14:paraId="0814CB6D">
      <w:pPr>
        <w:pStyle w:val="5"/>
        <w:spacing w:after="200"/>
        <w:jc w:val="left"/>
      </w:pPr>
      <w:r>
        <w:t>9.7.1 优势</w:t>
      </w:r>
    </w:p>
    <w:p w14:paraId="6412A112">
      <w:pPr>
        <w:spacing w:after="240"/>
      </w:pPr>
      <w:r>
        <w:t xml:space="preserve"> </w:t>
      </w:r>
    </w:p>
    <w:tbl>
      <w:tblPr>
        <w:tblStyle w:val="10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80" w:type="dxa"/>
          <w:left w:w="120" w:type="dxa"/>
          <w:bottom w:w="80" w:type="dxa"/>
          <w:right w:w="120" w:type="dxa"/>
        </w:tblCellMar>
      </w:tblPr>
      <w:tblGrid>
        <w:gridCol w:w="2618"/>
        <w:gridCol w:w="3223"/>
        <w:gridCol w:w="3424"/>
      </w:tblGrid>
      <w:tr w14:paraId="331C0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0" w:type="dxa"/>
            <w:bottom w:w="80" w:type="dxa"/>
            <w:right w:w="120" w:type="dxa"/>
          </w:tblCellMar>
        </w:tblPrEx>
        <w:trPr>
          <w:tblHeader/>
        </w:trPr>
        <w:tc>
          <w:p w14:paraId="07A9EF3C">
            <w:pPr>
              <w:jc w:val="left"/>
            </w:pPr>
            <w:r>
              <w:rPr>
                <w:b/>
                <w:bCs/>
              </w:rPr>
              <w:t>特性</w:t>
            </w:r>
          </w:p>
        </w:tc>
        <w:tc>
          <w:p w14:paraId="76ED6F5C">
            <w:pPr>
              <w:jc w:val="left"/>
            </w:pPr>
            <w:r>
              <w:rPr>
                <w:b/>
                <w:bCs/>
              </w:rPr>
              <w:t>传统上传下载</w:t>
            </w:r>
          </w:p>
        </w:tc>
        <w:tc>
          <w:p w14:paraId="54847FF0">
            <w:pPr>
              <w:jc w:val="left"/>
            </w:pPr>
            <w:r>
              <w:rPr>
                <w:b/>
                <w:bCs/>
              </w:rPr>
              <w:t>分片上传下载</w:t>
            </w:r>
          </w:p>
        </w:tc>
      </w:tr>
      <w:tr w14:paraId="23956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0" w:type="dxa"/>
            <w:bottom w:w="80" w:type="dxa"/>
            <w:right w:w="120" w:type="dxa"/>
          </w:tblCellMar>
        </w:tblPrEx>
        <w:tc>
          <w:p w14:paraId="10D9E34F">
            <w:pPr>
              <w:jc w:val="left"/>
            </w:pPr>
            <w:r>
              <w:t>传输方式</w:t>
            </w:r>
          </w:p>
        </w:tc>
        <w:tc>
          <w:p w14:paraId="55499823">
            <w:pPr>
              <w:jc w:val="left"/>
            </w:pPr>
            <w:r>
              <w:t>单线程整文件传输</w:t>
            </w:r>
          </w:p>
        </w:tc>
        <w:tc>
          <w:p w14:paraId="0ADA809B">
            <w:pPr>
              <w:jc w:val="left"/>
            </w:pPr>
            <w:r>
              <w:t>多线程分块并行</w:t>
            </w:r>
          </w:p>
        </w:tc>
      </w:tr>
      <w:tr w14:paraId="1E3B2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0" w:type="dxa"/>
            <w:bottom w:w="80" w:type="dxa"/>
            <w:right w:w="120" w:type="dxa"/>
          </w:tblCellMar>
        </w:tblPrEx>
        <w:tc>
          <w:p w14:paraId="6AFE0535">
            <w:pPr>
              <w:jc w:val="left"/>
            </w:pPr>
            <w:r>
              <w:t>断点续传</w:t>
            </w:r>
          </w:p>
        </w:tc>
        <w:tc>
          <w:p w14:paraId="35D3430F">
            <w:pPr>
              <w:jc w:val="left"/>
            </w:pPr>
            <w:r>
              <w:t>不支持</w:t>
            </w:r>
          </w:p>
        </w:tc>
        <w:tc>
          <w:p w14:paraId="548781E3">
            <w:pPr>
              <w:jc w:val="left"/>
            </w:pPr>
            <w:r>
              <w:t>支持，从断点恢复</w:t>
            </w:r>
          </w:p>
        </w:tc>
      </w:tr>
      <w:tr w14:paraId="23253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0" w:type="dxa"/>
            <w:bottom w:w="80" w:type="dxa"/>
            <w:right w:w="120" w:type="dxa"/>
          </w:tblCellMar>
        </w:tblPrEx>
        <w:tc>
          <w:p w14:paraId="6C622D2F">
            <w:pPr>
              <w:jc w:val="left"/>
            </w:pPr>
            <w:r>
              <w:t>进度反馈</w:t>
            </w:r>
          </w:p>
        </w:tc>
        <w:tc>
          <w:p w14:paraId="32B5B0E7">
            <w:pPr>
              <w:jc w:val="left"/>
            </w:pPr>
            <w:r>
              <w:t>无</w:t>
            </w:r>
          </w:p>
        </w:tc>
        <w:tc>
          <w:p w14:paraId="312F26A5">
            <w:pPr>
              <w:jc w:val="left"/>
            </w:pPr>
            <w:r>
              <w:t>按分块反馈进度</w:t>
            </w:r>
          </w:p>
        </w:tc>
      </w:tr>
      <w:tr w14:paraId="0413A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0" w:type="dxa"/>
            <w:bottom w:w="80" w:type="dxa"/>
            <w:right w:w="120" w:type="dxa"/>
          </w:tblCellMar>
        </w:tblPrEx>
        <w:tc>
          <w:p w14:paraId="26A8F6DA">
            <w:pPr>
              <w:jc w:val="left"/>
            </w:pPr>
            <w:r>
              <w:t>内存占用</w:t>
            </w:r>
          </w:p>
        </w:tc>
        <w:tc>
          <w:p w14:paraId="0FFD317E">
            <w:pPr>
              <w:jc w:val="left"/>
            </w:pPr>
            <w:r>
              <w:t>全文件缓冲</w:t>
            </w:r>
          </w:p>
        </w:tc>
        <w:tc>
          <w:p w14:paraId="276774E1">
            <w:pPr>
              <w:jc w:val="left"/>
            </w:pPr>
            <w:r>
              <w:t>分块缓冲，内存友好</w:t>
            </w:r>
          </w:p>
        </w:tc>
      </w:tr>
      <w:tr w14:paraId="25E96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0" w:type="dxa"/>
            <w:bottom w:w="80" w:type="dxa"/>
            <w:right w:w="120" w:type="dxa"/>
          </w:tblCellMar>
        </w:tblPrEx>
        <w:tc>
          <w:p w14:paraId="1252F305">
            <w:pPr>
              <w:jc w:val="left"/>
            </w:pPr>
            <w:r>
              <w:t>大文件支持</w:t>
            </w:r>
          </w:p>
        </w:tc>
        <w:tc>
          <w:p w14:paraId="3FE785FC">
            <w:pPr>
              <w:jc w:val="left"/>
            </w:pPr>
            <w:r>
              <w:t>易超时失败</w:t>
            </w:r>
          </w:p>
        </w:tc>
        <w:tc>
          <w:p w14:paraId="1F088D7B">
            <w:pPr>
              <w:jc w:val="left"/>
            </w:pPr>
            <w:r>
              <w:t>稳定，可配置超时</w:t>
            </w:r>
          </w:p>
        </w:tc>
      </w:tr>
      <w:tr w14:paraId="08648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0" w:type="dxa"/>
            <w:bottom w:w="80" w:type="dxa"/>
            <w:right w:w="120" w:type="dxa"/>
          </w:tblCellMar>
        </w:tblPrEx>
        <w:tc>
          <w:p w14:paraId="6FE78F1B">
            <w:pPr>
              <w:jc w:val="left"/>
            </w:pPr>
            <w:r>
              <w:t>跨版本去重</w:t>
            </w:r>
          </w:p>
        </w:tc>
        <w:tc>
          <w:p w14:paraId="0885BB1E">
            <w:pPr>
              <w:jc w:val="left"/>
            </w:pPr>
            <w:r>
              <w:t>无</w:t>
            </w:r>
          </w:p>
        </w:tc>
        <w:tc>
          <w:p w14:paraId="1BE68F4E">
            <w:pPr>
              <w:jc w:val="left"/>
            </w:pPr>
            <w:r>
              <w:t>有，基于内容寻址</w:t>
            </w:r>
          </w:p>
        </w:tc>
      </w:tr>
    </w:tbl>
    <w:p w14:paraId="3492DE4E">
      <w:pPr>
        <w:spacing w:before="240"/>
      </w:pPr>
      <w:r>
        <w:t xml:space="preserve"> </w:t>
      </w:r>
    </w:p>
    <w:p w14:paraId="2824C3B5">
      <w:pPr>
        <w:pStyle w:val="5"/>
        <w:spacing w:after="200"/>
        <w:jc w:val="left"/>
      </w:pPr>
      <w:r>
        <w:t>9.7.2 注意事项</w:t>
      </w:r>
    </w:p>
    <w:p w14:paraId="2C48EE01">
      <w:pPr>
        <w:spacing w:after="100"/>
        <w:ind w:left="20"/>
        <w:jc w:val="left"/>
      </w:pPr>
      <w:r>
        <w:t xml:space="preserve">1. </w:t>
      </w:r>
      <w:r>
        <w:rPr>
          <w:b/>
          <w:bCs/>
        </w:rPr>
        <w:t>分块大小调优</w:t>
      </w:r>
      <w:r>
        <w:t>：根据网络环境和文件大小调整分块大小，建议 128KB-1MB；</w:t>
      </w:r>
    </w:p>
    <w:p w14:paraId="170CDFC9">
      <w:pPr>
        <w:spacing w:after="100"/>
        <w:ind w:left="20"/>
        <w:jc w:val="left"/>
      </w:pPr>
      <w:r>
        <w:t xml:space="preserve">2. </w:t>
      </w:r>
      <w:r>
        <w:rPr>
          <w:b/>
          <w:bCs/>
        </w:rPr>
        <w:t>并发数限制</w:t>
      </w:r>
      <w:r>
        <w:t>：前端和服务端需限制并发数，避免资源耗尽；</w:t>
      </w:r>
    </w:p>
    <w:p w14:paraId="02F29E4F">
      <w:pPr>
        <w:spacing w:after="100"/>
        <w:ind w:left="20"/>
        <w:jc w:val="left"/>
      </w:pPr>
      <w:r>
        <w:t xml:space="preserve">3. </w:t>
      </w:r>
      <w:r>
        <w:rPr>
          <w:b/>
          <w:bCs/>
        </w:rPr>
        <w:t>临时文件清理</w:t>
      </w:r>
      <w:r>
        <w:t>：上传过程中产生的临时文件需定时清理；</w:t>
      </w:r>
    </w:p>
    <w:p w14:paraId="7E76FAD8">
      <w:pPr>
        <w:spacing w:after="100"/>
        <w:ind w:left="20"/>
        <w:jc w:val="left"/>
      </w:pPr>
      <w:r>
        <w:t xml:space="preserve">4. </w:t>
      </w:r>
      <w:r>
        <w:rPr>
          <w:b/>
          <w:bCs/>
        </w:rPr>
        <w:t>超时重试</w:t>
      </w:r>
      <w:r>
        <w:t>：网络波动时需设置合理的重试机制；</w:t>
      </w:r>
    </w:p>
    <w:p w14:paraId="399D5F46">
      <w:pPr>
        <w:spacing w:after="100"/>
        <w:ind w:left="20"/>
        <w:jc w:val="left"/>
      </w:pPr>
      <w:r>
        <w:t xml:space="preserve">5. </w:t>
      </w:r>
      <w:r>
        <w:rPr>
          <w:b/>
          <w:bCs/>
        </w:rPr>
        <w:t>引用计数</w:t>
      </w:r>
      <w:r>
        <w:t>：内容寻址存储需维护分块引用计数，支持安全删除。</w:t>
      </w:r>
    </w:p>
    <w:p w14:paraId="04F22CBF">
      <w:pPr>
        <w:spacing w:after="200"/>
      </w:pPr>
      <w:r>
        <w:t xml:space="preserve"> </w:t>
      </w:r>
    </w:p>
    <w:p w14:paraId="1813C8BF">
      <w:pPr>
        <w:pStyle w:val="3"/>
        <w:spacing w:after="200"/>
        <w:jc w:val="left"/>
      </w:pPr>
      <w:r>
        <w:t>十、方案价值总结</w:t>
      </w:r>
    </w:p>
    <w:p w14:paraId="3E781748">
      <w:pPr>
        <w:spacing w:after="100"/>
        <w:ind w:left="20"/>
        <w:jc w:val="left"/>
      </w:pPr>
      <w:r>
        <w:t xml:space="preserve">1. </w:t>
      </w:r>
      <w:r>
        <w:rPr>
          <w:b/>
          <w:bCs/>
        </w:rPr>
        <w:t>正式版本强稳定</w:t>
      </w:r>
      <w:r>
        <w:t>：三层不可变保障，彻底杜绝正式版本被篡改、覆盖的风险，保障生产环境稳定；</w:t>
      </w:r>
    </w:p>
    <w:p w14:paraId="2E46A42F">
      <w:pPr>
        <w:spacing w:after="100"/>
        <w:ind w:left="20"/>
        <w:jc w:val="left"/>
      </w:pPr>
      <w:r>
        <w:t xml:space="preserve">2. </w:t>
      </w:r>
      <w:r>
        <w:rPr>
          <w:b/>
          <w:bCs/>
        </w:rPr>
        <w:t>操作门槛大幅降低</w:t>
      </w:r>
      <w:r>
        <w:t>：可视化一键同步、向导式发布，无需掌握 Git 命令，训练工程师可快速上手；</w:t>
      </w:r>
    </w:p>
    <w:p w14:paraId="5F641E67">
      <w:pPr>
        <w:spacing w:after="100"/>
        <w:ind w:left="20"/>
        <w:jc w:val="left"/>
      </w:pPr>
      <w:r>
        <w:t xml:space="preserve">3. </w:t>
      </w:r>
      <w:r>
        <w:rPr>
          <w:b/>
          <w:bCs/>
        </w:rPr>
        <w:t>系统对接高效</w:t>
      </w:r>
      <w:r>
        <w:t>：标准化状态机与事件机制，降低上下游系统对接成本，支撑全链路自动化管控；</w:t>
      </w:r>
    </w:p>
    <w:p w14:paraId="09345676">
      <w:pPr>
        <w:spacing w:after="100"/>
        <w:ind w:left="20"/>
        <w:jc w:val="left"/>
      </w:pPr>
      <w:r>
        <w:t xml:space="preserve">4. </w:t>
      </w:r>
      <w:r>
        <w:rPr>
          <w:b/>
          <w:bCs/>
        </w:rPr>
        <w:t>可读性与协作效率提升</w:t>
      </w:r>
      <w:r>
        <w:t>：统一目录结构与规范文档，降低团队协作沟通成本，模型交付更规范；</w:t>
      </w:r>
    </w:p>
    <w:p w14:paraId="710FD201">
      <w:pPr>
        <w:spacing w:after="100"/>
        <w:ind w:left="20"/>
        <w:jc w:val="left"/>
      </w:pPr>
      <w:r>
        <w:t xml:space="preserve">5. </w:t>
      </w:r>
      <w:r>
        <w:rPr>
          <w:b/>
          <w:bCs/>
        </w:rPr>
        <w:t>大文件传输优化</w:t>
      </w:r>
      <w:r>
        <w:t>：分片上传下载机制，支持断点续传和并发传输，提升大模型文件传输效率与稳定性；</w:t>
      </w:r>
    </w:p>
    <w:p w14:paraId="3F0C2CFE">
      <w:pPr>
        <w:spacing w:after="200"/>
      </w:pP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suff w:val="space"/>
      <w:lvlText w:val="●"/>
      <w:lvlJc w:val="left"/>
      <w:pPr>
        <w:ind w:left="240" w:hanging="180"/>
      </w:pPr>
    </w:lvl>
    <w:lvl w:ilvl="1" w:tentative="0">
      <w:start w:val="1"/>
      <w:numFmt w:val="bullet"/>
      <w:suff w:val="space"/>
      <w:lvlText w:val="○"/>
      <w:lvlJc w:val="left"/>
      <w:pPr>
        <w:ind w:left="660" w:hanging="180"/>
      </w:pPr>
    </w:lvl>
    <w:lvl w:ilvl="2" w:tentative="0">
      <w:start w:val="1"/>
      <w:numFmt w:val="bullet"/>
      <w:suff w:val="space"/>
      <w:lvlText w:val="■"/>
      <w:lvlJc w:val="left"/>
      <w:pPr>
        <w:ind w:left="1080" w:hanging="180"/>
      </w:pPr>
    </w:lvl>
    <w:lvl w:ilvl="3" w:tentative="0">
      <w:start w:val="1"/>
      <w:numFmt w:val="bullet"/>
      <w:suff w:val="space"/>
      <w:lvlText w:val="●"/>
      <w:lvlJc w:val="left"/>
      <w:pPr>
        <w:ind w:left="1500" w:hanging="180"/>
      </w:pPr>
    </w:lvl>
    <w:lvl w:ilvl="4" w:tentative="0">
      <w:start w:val="1"/>
      <w:numFmt w:val="bullet"/>
      <w:suff w:val="space"/>
      <w:lvlText w:val="○"/>
      <w:lvlJc w:val="left"/>
      <w:pPr>
        <w:ind w:left="1920" w:hanging="180"/>
      </w:pPr>
    </w:lvl>
    <w:lvl w:ilvl="5" w:tentative="0">
      <w:start w:val="1"/>
      <w:numFmt w:val="bullet"/>
      <w:suff w:val="space"/>
      <w:lvlText w:val="■"/>
      <w:lvlJc w:val="left"/>
      <w:pPr>
        <w:ind w:left="2340" w:hanging="180"/>
      </w:pPr>
    </w:lvl>
    <w:lvl w:ilvl="6" w:tentative="0">
      <w:start w:val="1"/>
      <w:numFmt w:val="bullet"/>
      <w:suff w:val="space"/>
      <w:lvlText w:val="●"/>
      <w:lvlJc w:val="left"/>
      <w:pPr>
        <w:ind w:left="2760" w:hanging="180"/>
      </w:pPr>
    </w:lvl>
    <w:lvl w:ilvl="7" w:tentative="0">
      <w:start w:val="1"/>
      <w:numFmt w:val="bullet"/>
      <w:suff w:val="space"/>
      <w:lvlText w:val="○"/>
      <w:lvlJc w:val="left"/>
      <w:pPr>
        <w:ind w:left="3180" w:hanging="180"/>
      </w:pPr>
    </w:lvl>
    <w:lvl w:ilvl="8" w:tentative="0">
      <w:start w:val="1"/>
      <w:numFmt w:val="bullet"/>
      <w:suff w:val="space"/>
      <w:lvlText w:val="■"/>
      <w:lvlJc w:val="left"/>
      <w:pPr>
        <w:ind w:left="3600" w:hanging="18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6C627B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4"/>
      <w:szCs w:val="24"/>
    </w:rPr>
  </w:style>
  <w:style w:type="paragraph" w:styleId="2">
    <w:name w:val="heading 1"/>
    <w:next w:val="1"/>
    <w:qFormat/>
    <w:uiPriority w:val="0"/>
    <w:pPr>
      <w:jc w:val="left"/>
    </w:pPr>
    <w:rPr>
      <w:b/>
      <w:bCs/>
      <w:color w:val="000000"/>
      <w:sz w:val="40"/>
      <w:szCs w:val="40"/>
    </w:rPr>
  </w:style>
  <w:style w:type="paragraph" w:styleId="3">
    <w:name w:val="heading 2"/>
    <w:next w:val="1"/>
    <w:qFormat/>
    <w:uiPriority w:val="0"/>
    <w:pPr>
      <w:jc w:val="left"/>
    </w:pPr>
    <w:rPr>
      <w:b/>
      <w:bCs/>
      <w:color w:val="000000"/>
      <w:sz w:val="36"/>
      <w:szCs w:val="36"/>
    </w:rPr>
  </w:style>
  <w:style w:type="paragraph" w:styleId="4">
    <w:name w:val="heading 3"/>
    <w:next w:val="1"/>
    <w:qFormat/>
    <w:uiPriority w:val="0"/>
    <w:pPr>
      <w:jc w:val="left"/>
    </w:pPr>
    <w:rPr>
      <w:b/>
      <w:bCs/>
      <w:color w:val="000000"/>
      <w:sz w:val="32"/>
      <w:szCs w:val="32"/>
    </w:rPr>
  </w:style>
  <w:style w:type="paragraph" w:styleId="5">
    <w:name w:val="heading 4"/>
    <w:next w:val="1"/>
    <w:qFormat/>
    <w:uiPriority w:val="0"/>
    <w:pPr>
      <w:jc w:val="left"/>
    </w:pPr>
    <w:rPr>
      <w:b/>
      <w:bCs/>
      <w:color w:val="000000"/>
      <w:sz w:val="28"/>
      <w:szCs w:val="28"/>
    </w:rPr>
  </w:style>
  <w:style w:type="paragraph" w:styleId="6">
    <w:name w:val="heading 5"/>
    <w:next w:val="1"/>
    <w:qFormat/>
    <w:uiPriority w:val="0"/>
    <w:pPr>
      <w:jc w:val="left"/>
    </w:pPr>
    <w:rPr>
      <w:b/>
      <w:bCs/>
      <w:color w:val="000000"/>
      <w:sz w:val="24"/>
      <w:szCs w:val="24"/>
    </w:rPr>
  </w:style>
  <w:style w:type="paragraph" w:styleId="7">
    <w:name w:val="heading 6"/>
    <w:next w:val="1"/>
    <w:qFormat/>
    <w:uiPriority w:val="0"/>
    <w:pPr>
      <w:jc w:val="left"/>
    </w:pPr>
    <w:rPr>
      <w:b/>
      <w:bCs/>
      <w:color w:val="000000"/>
      <w:sz w:val="20"/>
      <w:szCs w:val="20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semiHidden/>
    <w:unhideWhenUsed/>
    <w:qFormat/>
    <w:uiPriority w:val="99"/>
    <w:pPr>
      <w:spacing w:after="0" w:line="240" w:lineRule="auto"/>
      <w:jc w:val="left"/>
    </w:pPr>
    <w:rPr>
      <w:sz w:val="20"/>
      <w:szCs w:val="20"/>
    </w:rPr>
  </w:style>
  <w:style w:type="paragraph" w:styleId="9">
    <w:name w:val="Title"/>
    <w:qFormat/>
    <w:uiPriority w:val="0"/>
    <w:pPr>
      <w:jc w:val="left"/>
    </w:pPr>
    <w:rPr>
      <w:sz w:val="56"/>
      <w:szCs w:val="56"/>
    </w:rPr>
  </w:style>
  <w:style w:type="character" w:styleId="12">
    <w:name w:val="Hyperlink"/>
    <w:unhideWhenUsed/>
    <w:qFormat/>
    <w:uiPriority w:val="99"/>
    <w:rPr>
      <w:color w:val="0563C1"/>
      <w:u w:val="single"/>
    </w:r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paragraph" w:styleId="14">
    <w:name w:val="List Paragraph"/>
    <w:qFormat/>
    <w:uiPriority w:val="0"/>
    <w:pPr>
      <w:jc w:val="left"/>
    </w:pPr>
    <w:rPr>
      <w:sz w:val="24"/>
      <w:szCs w:val="24"/>
    </w:rPr>
  </w:style>
  <w:style w:type="character" w:customStyle="1" w:styleId="15">
    <w:name w:val="Footnote Text Char"/>
    <w:link w:val="8"/>
    <w:semiHidden/>
    <w:unhideWhenUsed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29</Pages>
  <Words>4243</Words>
  <Characters>6085</Characters>
  <TotalTime>0</TotalTime>
  <ScaleCrop>false</ScaleCrop>
  <LinksUpToDate>false</LinksUpToDate>
  <CharactersWithSpaces>8048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2026-07-03T06:29:00Z</dcterms:created>
  <dc:creator>Un-named</dc:creator>
  <cp:lastModifiedBy>WPS_1711607136</cp:lastModifiedBy>
  <dcterms:modified xsi:type="dcterms:W3CDTF">2026-07-03T06:30:16Z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eyJoZGlkIjoiNWEzNjc4Y2Y4ODE5NzQwNDAwYTNkYjkwYTQxYjZhNDAiLCJ1c2VySWQiOiIxNTg5MjIzODc4In0=</vt:lpwstr>
  </property>
  <property fmtid="{D5CDD505-2E9C-101B-9397-08002B2CF9AE}" pid="3" name="KSOProductBuildVer">
    <vt:lpwstr>2052-12.1.0.26895</vt:lpwstr>
  </property>
  <property fmtid="{D5CDD505-2E9C-101B-9397-08002B2CF9AE}" pid="4" name="ICV">
    <vt:lpwstr>C62E1BAC92894F2A84E640FE965C281D_12</vt:lpwstr>
  </property>
</Properties>
</file>